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rFonts w:ascii="Georgia" w:hAnsi="Georgia" w:eastAsia="Georgia"/>
          <w:b/>
          <w:i w:val="0"/>
          <w:color w:val="121826"/>
          <w:sz w:val="36"/>
        </w:rPr>
        <w:t>Brightline Florida: new money in the 2026 restructuring</w:t>
      </w:r>
    </w:p>
    <w:p>
      <w:r>
        <w:rPr>
          <w:rFonts w:ascii="Arial" w:hAnsi="Arial" w:eastAsia="Arial"/>
          <w:b/>
          <w:i w:val="0"/>
          <w:color w:val="2A3140"/>
          <w:sz w:val="21"/>
        </w:rPr>
        <w:t>Infrastructure · Advanced · Take-home (1–2 days) · Case date: Monday 12 October 2026 · Data as of 9 October 2026</w:t>
      </w:r>
    </w:p>
    <w:tbl>
      <w:tblPr>
        <w:tblW w:type="auto" w:w="0"/>
        <w:tblLook w:firstColumn="1" w:firstRow="1" w:lastColumn="0" w:lastRow="0" w:noHBand="0" w:noVBand="1" w:val="04A0"/>
      </w:tblPr>
      <w:tblGrid>
        <w:gridCol w:w="9360"/>
      </w:tblGrid>
      <w:tr>
        <w:tc>
          <w:tcPr>
            <w:tcW w:type="dxa" w:w="9360"/>
            <w:shd w:val="clear" w:color="auto" w:fill="F2F4F8"/>
          </w:tcPr>
          <w:p>
            <w:r>
              <w:rPr>
                <w:rFonts w:ascii="Arial" w:hAnsi="Arial" w:eastAsia="Arial"/>
                <w:b w:val="0"/>
                <w:i w:val="0"/>
                <w:color w:val="2A3140"/>
                <w:sz w:val="19"/>
              </w:rPr>
              <w:t>About this case. The borrower, the railroad, the bonds, the restructuring terms and every historical figure are real. They come from Brightline's municipal continuing disclosure on EMMA, its investor-relations reports, the 2024 official statement and dated third-party sources, cited in brackets (for example [E2]); the source list is in the data book README. The $50M allocation, the fund (Halyard Point Credit) and your role are hypothetical. Practice use only. Figures are in $ millions ($M) unless stated; riders are passenger trips. The data book is exhibits-brightline-florida-new-money.xlsx (Exhibits 1–10 and a Checks tab). No memo, model or deck templates ship with this case yet: build your own.</w:t>
            </w:r>
          </w:p>
        </w:tc>
      </w:tr>
    </w:tbl>
    <w:p/>
    <w:p>
      <w:pPr>
        <w:spacing w:before="200"/>
      </w:pPr>
      <w:r>
        <w:rPr>
          <w:rFonts w:ascii="Georgia" w:hAnsi="Georgia" w:eastAsia="Georgia"/>
          <w:b/>
          <w:i w:val="0"/>
          <w:color w:val="1E3A5F"/>
          <w:sz w:val="26"/>
        </w:rPr>
        <w:t>0. The ask</w:t>
      </w:r>
    </w:p>
    <w:p>
      <w:r>
        <w:rPr>
          <w:rFonts w:ascii="Arial" w:hAnsi="Arial" w:eastAsia="Arial"/>
          <w:b w:val="0"/>
          <w:i w:val="0"/>
          <w:color w:val="2A3140"/>
          <w:sz w:val="21"/>
        </w:rPr>
        <w:t>You are a vice president on the infrastructure credit team at Halyard Point Credit, a fictional private credit fund. A member of the Ad Hoc Mutual Fund Group (MFG) in the Brightline restructuring has offered Halyard $50.0M of the $70.0M of new Pari Passu OpCo Exit Notes that the MFG lenders must backstop under the Restructuring Support Agreement (RSA) of 29 September 2026 (HYPOTHETICAL offer). Halyard holds no Brightline debt today. The investment committee (IC) meets on Thursday 15 October 2026 and wants your recommendation: commit, decline or counter, and on what terms. Deliverables: a full IC credit memo, your model and a 10-slide deck. Time budget: take-home, 1–2 days.</w:t>
      </w:r>
    </w:p>
    <w:p>
      <w:pPr>
        <w:spacing w:before="200"/>
      </w:pPr>
      <w:r>
        <w:rPr>
          <w:rFonts w:ascii="Georgia" w:hAnsi="Georgia" w:eastAsia="Georgia"/>
          <w:b/>
          <w:i w:val="0"/>
          <w:color w:val="1E3A5F"/>
          <w:sz w:val="26"/>
        </w:rPr>
        <w:t>1. Transaction summary</w:t>
      </w:r>
    </w:p>
    <w:tbl>
      <w:tblPr>
        <w:tblW w:type="dxa" w:w="9360"/>
        <w:jc w:val="center"/>
        <w:tblLayout w:type="fixed"/>
        <w:tblLook w:firstColumn="1" w:firstRow="1" w:lastColumn="0" w:lastRow="0" w:noHBand="0" w:noVBand="1" w:val="04A0"/>
        <w:tblBorders>
          <w:top w:val="single" w:sz="4" w:color="DDDCD4"/>
          <w:bottom w:val="single" w:sz="4" w:color="DDDCD4"/>
          <w:insideH w:val="single" w:sz="4" w:color="DDDCD4"/>
          <w:left w:val="nil"/>
          <w:right w:val="nil"/>
          <w:insideV w:val="nil"/>
        </w:tblBorders>
      </w:tblPr>
      <w:tblGrid>
        <w:gridCol w:w="3960"/>
        <w:gridCol w:w="5400"/>
      </w:tblGrid>
      <w:tr>
        <w:tc>
          <w:tcPr>
            <w:tcW w:type="dxa" w:w="3960"/>
            <w:shd w:val="clear" w:color="auto" w:fill="E4EAF3"/>
          </w:tcPr>
          <w:p>
            <w:r>
              <w:rPr>
                <w:rFonts w:ascii="Arial" w:hAnsi="Arial" w:eastAsia="Arial"/>
                <w:b/>
                <w:i w:val="0"/>
                <w:color w:val="121826"/>
                <w:sz w:val="17"/>
              </w:rPr>
              <w:t>Item</w:t>
            </w:r>
          </w:p>
        </w:tc>
        <w:tc>
          <w:tcPr>
            <w:tcW w:type="dxa" w:w="5400"/>
            <w:shd w:val="clear" w:color="auto" w:fill="E4EAF3"/>
          </w:tcPr>
          <w:p>
            <w:r>
              <w:rPr>
                <w:rFonts w:ascii="Arial" w:hAnsi="Arial" w:eastAsia="Arial"/>
                <w:b/>
                <w:i w:val="0"/>
                <w:color w:val="121826"/>
                <w:sz w:val="17"/>
              </w:rPr>
              <w:t>Detail</w:t>
            </w:r>
          </w:p>
        </w:tc>
      </w:tr>
      <w:tr>
        <w:tc>
          <w:tcPr>
            <w:tcW w:type="dxa" w:w="3960"/>
          </w:tcPr>
          <w:p>
            <w:r>
              <w:rPr>
                <w:rFonts w:ascii="Arial" w:hAnsi="Arial" w:eastAsia="Arial"/>
                <w:b w:val="0"/>
                <w:i w:val="0"/>
                <w:color w:val="2A3140"/>
                <w:sz w:val="17"/>
              </w:rPr>
              <w:t>Issuer</w:t>
            </w:r>
          </w:p>
        </w:tc>
        <w:tc>
          <w:tcPr>
            <w:tcW w:type="dxa" w:w="5400"/>
          </w:tcPr>
          <w:p>
            <w:r>
              <w:rPr>
                <w:rFonts w:ascii="Arial" w:hAnsi="Arial" w:eastAsia="Arial"/>
                <w:b w:val="0"/>
                <w:i w:val="0"/>
                <w:color w:val="2A3140"/>
                <w:sz w:val="17"/>
              </w:rPr>
              <w:t>Brightline Trains Florida LLC (OpCo), or a conduit issuer on its behalf. OpCo is not in Chapter 11</w:t>
            </w:r>
          </w:p>
        </w:tc>
      </w:tr>
      <w:tr>
        <w:tc>
          <w:tcPr>
            <w:tcW w:type="dxa" w:w="3960"/>
          </w:tcPr>
          <w:p>
            <w:r>
              <w:rPr>
                <w:rFonts w:ascii="Arial" w:hAnsi="Arial" w:eastAsia="Arial"/>
                <w:b w:val="0"/>
                <w:i w:val="0"/>
                <w:color w:val="2A3140"/>
                <w:sz w:val="17"/>
              </w:rPr>
              <w:t>Owner after exit</w:t>
            </w:r>
          </w:p>
        </w:tc>
        <w:tc>
          <w:tcPr>
            <w:tcW w:type="dxa" w:w="5400"/>
          </w:tcPr>
          <w:p>
            <w:r>
              <w:rPr>
                <w:rFonts w:ascii="Arial" w:hAnsi="Arial" w:eastAsia="Arial"/>
                <w:b w:val="0"/>
                <w:i w:val="0"/>
                <w:color w:val="2A3140"/>
                <w:sz w:val="17"/>
              </w:rPr>
              <w:t>New HoldCo, which will own 100% of OpCo and pledge its equity; 95% of New HoldCo goes to buyers of the Junior Exit Notes</w:t>
            </w:r>
          </w:p>
        </w:tc>
      </w:tr>
      <w:tr>
        <w:tc>
          <w:tcPr>
            <w:tcW w:type="dxa" w:w="3960"/>
          </w:tcPr>
          <w:p>
            <w:r>
              <w:rPr>
                <w:rFonts w:ascii="Arial" w:hAnsi="Arial" w:eastAsia="Arial"/>
                <w:b w:val="0"/>
                <w:i w:val="0"/>
                <w:color w:val="2A3140"/>
                <w:sz w:val="17"/>
              </w:rPr>
              <w:t>Facility</w:t>
            </w:r>
          </w:p>
        </w:tc>
        <w:tc>
          <w:tcPr>
            <w:tcW w:type="dxa" w:w="5400"/>
          </w:tcPr>
          <w:p>
            <w:r>
              <w:rPr>
                <w:rFonts w:ascii="Arial" w:hAnsi="Arial" w:eastAsia="Arial"/>
                <w:b w:val="0"/>
                <w:i w:val="0"/>
                <w:color w:val="2A3140"/>
                <w:sz w:val="17"/>
              </w:rPr>
              <w:t>$140.0M Pari Passu OpCo Exit Notes; Assured Guaranty insures or buys $70.0M, the MFG lenders backstop $70.0M</w:t>
            </w:r>
          </w:p>
        </w:tc>
      </w:tr>
      <w:tr>
        <w:tc>
          <w:tcPr>
            <w:tcW w:type="dxa" w:w="3960"/>
          </w:tcPr>
          <w:p>
            <w:r>
              <w:rPr>
                <w:rFonts w:ascii="Arial" w:hAnsi="Arial" w:eastAsia="Arial"/>
                <w:b w:val="0"/>
                <w:i w:val="0"/>
                <w:color w:val="2A3140"/>
                <w:sz w:val="17"/>
              </w:rPr>
              <w:t>Allocation offered (HYPOTHETICAL)</w:t>
            </w:r>
          </w:p>
        </w:tc>
        <w:tc>
          <w:tcPr>
            <w:tcW w:type="dxa" w:w="5400"/>
          </w:tcPr>
          <w:p>
            <w:r>
              <w:rPr>
                <w:rFonts w:ascii="Arial" w:hAnsi="Arial" w:eastAsia="Arial"/>
                <w:b w:val="0"/>
                <w:i w:val="0"/>
                <w:color w:val="2A3140"/>
                <w:sz w:val="17"/>
              </w:rPr>
              <w:t>$50.0M, 71.4% of the uninsured $70.0M</w:t>
            </w:r>
          </w:p>
        </w:tc>
      </w:tr>
      <w:tr>
        <w:tc>
          <w:tcPr>
            <w:tcW w:type="dxa" w:w="3960"/>
          </w:tcPr>
          <w:p>
            <w:r>
              <w:rPr>
                <w:rFonts w:ascii="Arial" w:hAnsi="Arial" w:eastAsia="Arial"/>
                <w:b w:val="0"/>
                <w:i w:val="0"/>
                <w:color w:val="2A3140"/>
                <w:sz w:val="17"/>
              </w:rPr>
              <w:t>Ranking</w:t>
            </w:r>
          </w:p>
        </w:tc>
        <w:tc>
          <w:tcPr>
            <w:tcW w:type="dxa" w:w="5400"/>
          </w:tcPr>
          <w:p>
            <w:r>
              <w:rPr>
                <w:rFonts w:ascii="Arial" w:hAnsi="Arial" w:eastAsia="Arial"/>
                <w:b w:val="0"/>
                <w:i w:val="0"/>
                <w:color w:val="2A3140"/>
                <w:sz w:val="17"/>
              </w:rPr>
              <w:t>First lien, pari passu with the $2,219.3M Series 2024 OpCo bonds and the Citizens facility</w:t>
            </w:r>
          </w:p>
        </w:tc>
      </w:tr>
      <w:tr>
        <w:tc>
          <w:tcPr>
            <w:tcW w:type="dxa" w:w="3960"/>
          </w:tcPr>
          <w:p>
            <w:r>
              <w:rPr>
                <w:rFonts w:ascii="Arial" w:hAnsi="Arial" w:eastAsia="Arial"/>
                <w:b w:val="0"/>
                <w:i w:val="0"/>
                <w:color w:val="2A3140"/>
                <w:sz w:val="17"/>
              </w:rPr>
              <w:t>Use of proceeds</w:t>
            </w:r>
          </w:p>
        </w:tc>
        <w:tc>
          <w:tcPr>
            <w:tcW w:type="dxa" w:w="5400"/>
          </w:tcPr>
          <w:p>
            <w:r>
              <w:rPr>
                <w:rFonts w:ascii="Arial" w:hAnsi="Arial" w:eastAsia="Arial"/>
                <w:b w:val="0"/>
                <w:i w:val="0"/>
                <w:color w:val="2A3140"/>
                <w:sz w:val="17"/>
              </w:rPr>
              <w:t>With the $350.0M Junior Exit Notes: repay the in-court Senior Secured Brightline Facility at exit and fund general corporate purposes</w:t>
            </w:r>
          </w:p>
        </w:tc>
      </w:tr>
      <w:tr>
        <w:tc>
          <w:tcPr>
            <w:tcW w:type="dxa" w:w="3960"/>
          </w:tcPr>
          <w:p>
            <w:r>
              <w:rPr>
                <w:rFonts w:ascii="Arial" w:hAnsi="Arial" w:eastAsia="Arial"/>
                <w:b w:val="0"/>
                <w:i w:val="0"/>
                <w:color w:val="2A3140"/>
                <w:sz w:val="17"/>
              </w:rPr>
              <w:t>Pricing</w:t>
            </w:r>
          </w:p>
        </w:tc>
        <w:tc>
          <w:tcPr>
            <w:tcW w:type="dxa" w:w="5400"/>
          </w:tcPr>
          <w:p>
            <w:r>
              <w:rPr>
                <w:rFonts w:ascii="Arial" w:hAnsi="Arial" w:eastAsia="Arial"/>
                <w:b w:val="0"/>
                <w:i w:val="0"/>
                <w:color w:val="2A3140"/>
                <w:sz w:val="17"/>
              </w:rPr>
              <w:t>8.5% fixed, paid in kind (PIK) unless the fixed charge coverage ratio (FCCR) exceeds 1.30x for 12 trailing months</w:t>
            </w:r>
          </w:p>
        </w:tc>
      </w:tr>
      <w:tr>
        <w:tc>
          <w:tcPr>
            <w:tcW w:type="dxa" w:w="3960"/>
          </w:tcPr>
          <w:p>
            <w:r>
              <w:rPr>
                <w:rFonts w:ascii="Arial" w:hAnsi="Arial" w:eastAsia="Arial"/>
                <w:b w:val="0"/>
                <w:i w:val="0"/>
                <w:color w:val="2A3140"/>
                <w:sz w:val="17"/>
              </w:rPr>
              <w:t>Base rate (for the only floating debt, the Citizens facility at SOFR + 2.00%)</w:t>
            </w:r>
          </w:p>
        </w:tc>
        <w:tc>
          <w:tcPr>
            <w:tcW w:type="dxa" w:w="5400"/>
          </w:tcPr>
          <w:p>
            <w:r>
              <w:rPr>
                <w:rFonts w:ascii="Arial" w:hAnsi="Arial" w:eastAsia="Arial"/>
                <w:b w:val="0"/>
                <w:i w:val="0"/>
                <w:color w:val="2A3140"/>
                <w:sz w:val="17"/>
              </w:rPr>
              <w:t>1-month (1M) CME Term SOFR 3.925% on 9 October 2026 (CME data via global-rates.com) [E11]</w:t>
            </w:r>
          </w:p>
        </w:tc>
      </w:tr>
      <w:tr>
        <w:tc>
          <w:tcPr>
            <w:tcW w:type="dxa" w:w="3960"/>
          </w:tcPr>
          <w:p>
            <w:r>
              <w:rPr>
                <w:rFonts w:ascii="Arial" w:hAnsi="Arial" w:eastAsia="Arial"/>
                <w:b w:val="0"/>
                <w:i w:val="0"/>
                <w:color w:val="2A3140"/>
                <w:sz w:val="17"/>
              </w:rPr>
              <w:t>Closing</w:t>
            </w:r>
          </w:p>
        </w:tc>
        <w:tc>
          <w:tcPr>
            <w:tcW w:type="dxa" w:w="5400"/>
          </w:tcPr>
          <w:p>
            <w:r>
              <w:rPr>
                <w:rFonts w:ascii="Arial" w:hAnsi="Arial" w:eastAsia="Arial"/>
                <w:b w:val="0"/>
                <w:i w:val="0"/>
                <w:color w:val="2A3140"/>
                <w:sz w:val="17"/>
              </w:rPr>
              <w:t>The plan effective date of the parent Chapter 11 cases; the RSA milestones point to 12 March 2027 at the latest if each one runs to its limit; Assured can extend to 315 days after the 24 September 2026 petition, and the outside date is 365 days</w:t>
            </w:r>
          </w:p>
        </w:tc>
      </w:tr>
    </w:tbl>
    <w:p>
      <w:pPr>
        <w:spacing w:after="40"/>
      </w:pPr>
    </w:p>
    <w:p>
      <w:pPr>
        <w:spacing w:before="200"/>
      </w:pPr>
      <w:r>
        <w:rPr>
          <w:rFonts w:ascii="Georgia" w:hAnsi="Georgia" w:eastAsia="Georgia"/>
          <w:b/>
          <w:i w:val="0"/>
          <w:color w:val="1E3A5F"/>
          <w:sz w:val="26"/>
        </w:rPr>
        <w:t>2. Project overview</w:t>
      </w:r>
    </w:p>
    <w:p>
      <w:r>
        <w:rPr>
          <w:rFonts w:ascii="Arial" w:hAnsi="Arial" w:eastAsia="Arial"/>
          <w:b w:val="0"/>
          <w:i w:val="0"/>
          <w:color w:val="2A3140"/>
          <w:sz w:val="21"/>
        </w:rPr>
        <w:t>Brightline is a privately owned and operated intercity passenger railroad [E1]. OpCo runs trains on about 235 miles of double track between Miami and Orlando International Airport, with stations at Miami, Aventura, Fort Lauderdale, Boca Raton, West Palm Beach and Orlando. South of Cocoa it shares the Florida East Coast Railway corridor under a perpetual passenger easement; the 40 miles from Cocoa to the airport are passenger-only and leased from state and airport authorities [E1,E10]. South Florida service began in 2018, was suspended from March 2020 to November 2021, and the Orlando extension opened on 22 September 2023 [E1].</w:t>
      </w:r>
    </w:p>
    <w:p>
      <w:r>
        <w:rPr>
          <w:rFonts w:ascii="Arial" w:hAnsi="Arial" w:eastAsia="Arial"/>
          <w:b w:val="0"/>
          <w:i w:val="0"/>
          <w:color w:val="2A3140"/>
          <w:sz w:val="21"/>
        </w:rPr>
        <w:t>OpCo earns money from fares and from food, beverage, parking and other ancillary revenue; it has no availability payment and no government revenue guarantee. Demand risk sits entirely with the lenders. In the twelve months to June 2026 OpCo carried 3,358,022 riders, 1,993,873 of them on long-distance trips to or from Orlando, and booked $232.1M of revenue at an average fare of $55.63 (Exhibits 1–3). Growth is steady: riders rose 17.9% and revenue 22.4% year on year in the second quarter of 2026. The trailing-12-month figure to July 2026 was 3,391,938 riders; annualising the first seven months of 2026 gives 3,564,110, a figure that ignores the strong first quarter.</w:t>
      </w:r>
    </w:p>
    <w:p>
      <w:r>
        <w:rPr>
          <w:rFonts w:ascii="Arial" w:hAnsi="Arial" w:eastAsia="Arial"/>
          <w:b/>
          <w:i w:val="0"/>
          <w:color w:val="2A3140"/>
          <w:sz w:val="21"/>
        </w:rPr>
        <w:t>The 2024 financing.</w:t>
      </w:r>
      <w:r>
        <w:rPr>
          <w:rFonts w:ascii="Arial" w:hAnsi="Arial" w:eastAsia="Arial"/>
          <w:b w:val="0"/>
          <w:i w:val="0"/>
          <w:color w:val="2A3140"/>
          <w:sz w:val="21"/>
        </w:rPr>
        <w:t xml:space="preserve"> In May 2024 OpCo refinanced through $2,219.3M of tax-exempt Series 2024 bonds issued by the Florida Development Finance Corporation (FDFC). Assured Guaranty insures three term bonds totalling $1,133.4M; the other $1,085.8M is uninsured. Coupons are 5.00%–5.50%, interest is paid on 1 January and 1 July, and maturities run from 2034 to 2053. The parents raised more debt against their interests in OpCo and in planned extensions: $925.0M and $285.71M of AAF Operations Holdings (HoldCo) bonds, $985.0M of commuter bonds and $1,118.8M of Brightline East notes (Exhibit 5).</w:t>
      </w:r>
    </w:p>
    <w:p>
      <w:r>
        <w:rPr>
          <w:rFonts w:ascii="Arial" w:hAnsi="Arial" w:eastAsia="Arial"/>
          <w:b/>
          <w:i w:val="0"/>
          <w:color w:val="2A3140"/>
          <w:sz w:val="21"/>
        </w:rPr>
        <w:t>What went wrong.</w:t>
      </w:r>
      <w:r>
        <w:rPr>
          <w:rFonts w:ascii="Arial" w:hAnsi="Arial" w:eastAsia="Arial"/>
          <w:b w:val="0"/>
          <w:i w:val="0"/>
          <w:color w:val="2A3140"/>
          <w:sz w:val="21"/>
        </w:rPr>
        <w:t xml:space="preserve"> The official statement projected about 8.0 million riders and $695M of ticket revenue by 2026 (Exhibit 4). OpCo's auditors expressed substantial doubt about its ability to continue as a going concern in the FY2025 statements [E7]. On 1 January 2026 OpCo used its debt service reserve to pay bond interest [E8]. From May 2026 it raised bridge notes at a 70% issue price, and the HoldCo and commuter bonds went into repeated grace-period extensions [E3]. On 24 September 2026 seventeen parent entities filed prearranged Chapter 11 cases in New Jersey; OpCo did not file [E10,E14].</w:t>
      </w:r>
    </w:p>
    <w:p>
      <w:r>
        <w:rPr>
          <w:rFonts w:ascii="Arial" w:hAnsi="Arial" w:eastAsia="Arial"/>
          <w:b/>
          <w:i w:val="0"/>
          <w:color w:val="2A3140"/>
          <w:sz w:val="21"/>
        </w:rPr>
        <w:t>The RSA.</w:t>
      </w:r>
      <w:r>
        <w:rPr>
          <w:rFonts w:ascii="Arial" w:hAnsi="Arial" w:eastAsia="Arial"/>
          <w:b w:val="0"/>
          <w:i w:val="0"/>
          <w:color w:val="2A3140"/>
          <w:sz w:val="21"/>
        </w:rPr>
        <w:t xml:space="preserve"> Assured, the MFG and other creditors signed the RSA on 25 September 2026 and amended it on 29 September 2026 [E2]. It keeps every bond's principal and the Assured policy in place. Consenting OpCo bondholders defer three coupons to 1 January 2031. OpCo raises $490.0M of exit notes: the $140.0M first-lien notes in this case and $350.0M of second-lien Junior Exit Notes, whose buyers receive 95% of New HoldCo. Until exit, OpCo runs on a $257.7M in-court Senior Secured Brightline Facility at 10.0% PIK plus an 8.0% fee (Exhibit 6).</w:t>
      </w:r>
    </w:p>
    <w:p>
      <w:r>
        <w:rPr>
          <w:rFonts w:ascii="Arial" w:hAnsi="Arial" w:eastAsia="Arial"/>
          <w:b/>
          <w:i w:val="0"/>
          <w:color w:val="2A3140"/>
          <w:sz w:val="21"/>
        </w:rPr>
        <w:t>Management.</w:t>
      </w:r>
      <w:r>
        <w:rPr>
          <w:rFonts w:ascii="Arial" w:hAnsi="Arial" w:eastAsia="Arial"/>
          <w:b w:val="0"/>
          <w:i w:val="0"/>
          <w:color w:val="2A3140"/>
          <w:sz w:val="21"/>
        </w:rPr>
        <w:t xml:space="preserve"> OpCo has no employees; an affiliate, Brightline Management, runs it under a management agreement. Entities managed by a Fortress affiliate indirectly own a majority of the parents [E10]. The case uses no individual names.</w:t>
      </w:r>
    </w:p>
    <w:p>
      <w:pPr>
        <w:spacing w:before="200"/>
      </w:pPr>
      <w:r>
        <w:rPr>
          <w:rFonts w:ascii="Georgia" w:hAnsi="Georgia" w:eastAsia="Georgia"/>
          <w:b/>
          <w:i w:val="0"/>
          <w:color w:val="1E3A5F"/>
          <w:sz w:val="26"/>
        </w:rPr>
        <w:t>3. Market</w:t>
      </w:r>
    </w:p>
    <w:p>
      <w:r>
        <w:rPr>
          <w:rFonts w:ascii="Arial" w:hAnsi="Arial" w:eastAsia="Arial"/>
          <w:b w:val="0"/>
          <w:i w:val="0"/>
          <w:color w:val="2A3140"/>
          <w:sz w:val="21"/>
        </w:rPr>
        <w:t>Demand drivers are South Florida population and tourism, airport traffic at Orlando, highway congestion on I-95 and the Florida Turnpike, and fares. The 2026 monthly reports show 88% of riders are Florida residents (July 2026) and about 36 departures a day [E3]. Riders and revenue are seasonal: the first quarter is the strongest and the third the weakest (Exhibit 2). The nearest competition is driving, air between South Florida and Orlando, and intercity bus.</w:t>
      </w:r>
    </w:p>
    <w:p>
      <w:r>
        <w:rPr>
          <w:rFonts w:ascii="Arial" w:hAnsi="Arial" w:eastAsia="Arial"/>
          <w:b w:val="0"/>
          <w:i w:val="0"/>
          <w:color w:val="2A3140"/>
          <w:sz w:val="21"/>
        </w:rPr>
        <w:t>The credit market has already priced the restructuring. On 28 September 2026 a $139M block of uninsured senior OpCo bonds traded at 45.5, against 64.0 on 8 April 2026; insured OpCo bonds traded at 95.6 on 2 October 2026; and the 12% HoldCo junior bonds due 2059 traded at 5.37 and 8.0 on 5 October 2026 and 6 October 2026 [E9]. Fitch cut the OpCo bonds to C from CC on 1 October 2026, calling the RSA a distressed debt exchange [E9]. In corporate private credit, the direct-lending spread premium over broadly syndicated loans was about 155bp on a trailing-12-month basis and 140bp year to date at 30 June 2026 (PitchBook LCD data cited by Portage Point) [E13]. Rates: the Federal Reserve raised the fed funds target to 3.75%–4.00% on 16 September 2026 [E12]; 1M CME Term SOFR was 3.925% on 9 October 2026 [E11].</w:t>
      </w:r>
    </w:p>
    <w:p>
      <w:pPr>
        <w:spacing w:before="200"/>
      </w:pPr>
      <w:r>
        <w:rPr>
          <w:rFonts w:ascii="Georgia" w:hAnsi="Georgia" w:eastAsia="Georgia"/>
          <w:b/>
          <w:i w:val="0"/>
          <w:color w:val="1E3A5F"/>
          <w:sz w:val="26"/>
        </w:rPr>
        <w:t>4. Concession base case ($M nominal, ×)</w:t>
      </w:r>
    </w:p>
    <w:p>
      <w:r>
        <w:rPr>
          <w:rFonts w:ascii="Arial" w:hAnsi="Arial" w:eastAsia="Arial"/>
          <w:b w:val="0"/>
          <w:i w:val="0"/>
          <w:color w:val="2A3140"/>
          <w:sz w:val="21"/>
        </w:rPr>
        <w:t>The 2024 official statement published three ramp-up scenarios for 2024–2026, then one shared projection to 2054 (Exhibit 4). Scenario 2 is the one behind the "8.0 million passengers and $695 million of ticket revenue by 2026" headline. Actuals are on the monthly-report basis; fiscal years end in December.</w:t>
      </w:r>
    </w:p>
    <w:tbl>
      <w:tblPr>
        <w:tblW w:type="dxa" w:w="9360"/>
        <w:jc w:val="center"/>
        <w:tblLayout w:type="fixed"/>
        <w:tblLook w:firstColumn="1" w:firstRow="1" w:lastColumn="0" w:lastRow="0" w:noHBand="0" w:noVBand="1" w:val="04A0"/>
        <w:tblBorders>
          <w:top w:val="single" w:sz="4" w:color="DDDCD4"/>
          <w:bottom w:val="single" w:sz="4" w:color="DDDCD4"/>
          <w:insideH w:val="single" w:sz="4" w:color="DDDCD4"/>
          <w:left w:val="nil"/>
          <w:right w:val="nil"/>
          <w:insideV w:val="nil"/>
        </w:tblBorders>
      </w:tblPr>
      <w:tblGrid>
        <w:gridCol w:w="4282"/>
        <w:gridCol w:w="1494"/>
        <w:gridCol w:w="1494"/>
        <w:gridCol w:w="2091"/>
      </w:tblGrid>
      <w:tr>
        <w:tc>
          <w:tcPr>
            <w:tcW w:type="dxa" w:w="4282"/>
            <w:shd w:val="clear" w:color="auto" w:fill="E4EAF3"/>
          </w:tcPr>
          <w:p>
            <w:r>
              <w:rPr>
                <w:rFonts w:ascii="Arial" w:hAnsi="Arial" w:eastAsia="Arial"/>
                <w:b/>
                <w:i w:val="0"/>
                <w:color w:val="121826"/>
                <w:sz w:val="17"/>
              </w:rPr>
              <w:t>$M unless stated</w:t>
            </w:r>
          </w:p>
        </w:tc>
        <w:tc>
          <w:tcPr>
            <w:tcW w:type="dxa" w:w="1494"/>
            <w:shd w:val="clear" w:color="auto" w:fill="E4EAF3"/>
          </w:tcPr>
          <w:p>
            <w:pPr>
              <w:jc w:val="right"/>
            </w:pPr>
            <w:r>
              <w:rPr>
                <w:rFonts w:ascii="Arial" w:hAnsi="Arial" w:eastAsia="Arial"/>
                <w:b/>
                <w:i w:val="0"/>
                <w:color w:val="121826"/>
                <w:sz w:val="17"/>
              </w:rPr>
              <w:t>2024</w:t>
            </w:r>
          </w:p>
        </w:tc>
        <w:tc>
          <w:tcPr>
            <w:tcW w:type="dxa" w:w="1494"/>
            <w:shd w:val="clear" w:color="auto" w:fill="E4EAF3"/>
          </w:tcPr>
          <w:p>
            <w:pPr>
              <w:jc w:val="right"/>
            </w:pPr>
            <w:r>
              <w:rPr>
                <w:rFonts w:ascii="Arial" w:hAnsi="Arial" w:eastAsia="Arial"/>
                <w:b/>
                <w:i w:val="0"/>
                <w:color w:val="121826"/>
                <w:sz w:val="17"/>
              </w:rPr>
              <w:t>2025</w:t>
            </w:r>
          </w:p>
        </w:tc>
        <w:tc>
          <w:tcPr>
            <w:tcW w:type="dxa" w:w="2091"/>
            <w:shd w:val="clear" w:color="auto" w:fill="E4EAF3"/>
          </w:tcPr>
          <w:p>
            <w:pPr>
              <w:jc w:val="right"/>
            </w:pPr>
            <w:r>
              <w:rPr>
                <w:rFonts w:ascii="Arial" w:hAnsi="Arial" w:eastAsia="Arial"/>
                <w:b/>
                <w:i w:val="0"/>
                <w:color w:val="121826"/>
                <w:sz w:val="17"/>
              </w:rPr>
              <w:t>2026</w:t>
            </w:r>
          </w:p>
        </w:tc>
      </w:tr>
      <w:tr>
        <w:tc>
          <w:tcPr>
            <w:tcW w:type="dxa" w:w="4282"/>
          </w:tcPr>
          <w:p>
            <w:r>
              <w:rPr>
                <w:rFonts w:ascii="Arial" w:hAnsi="Arial" w:eastAsia="Arial"/>
                <w:b w:val="0"/>
                <w:i w:val="0"/>
                <w:color w:val="2A3140"/>
                <w:sz w:val="17"/>
              </w:rPr>
              <w:t>Passengers (M): Scenario 1 / 2 / 3</w:t>
            </w:r>
          </w:p>
        </w:tc>
        <w:tc>
          <w:tcPr>
            <w:tcW w:type="dxa" w:w="1494"/>
          </w:tcPr>
          <w:p>
            <w:r>
              <w:rPr>
                <w:rFonts w:ascii="Arial" w:hAnsi="Arial" w:eastAsia="Arial"/>
                <w:b w:val="0"/>
                <w:i w:val="0"/>
                <w:color w:val="2A3140"/>
                <w:sz w:val="17"/>
              </w:rPr>
              <w:t>4.0 / 4.9 / 5.5</w:t>
            </w:r>
          </w:p>
        </w:tc>
        <w:tc>
          <w:tcPr>
            <w:tcW w:type="dxa" w:w="1494"/>
          </w:tcPr>
          <w:p>
            <w:r>
              <w:rPr>
                <w:rFonts w:ascii="Arial" w:hAnsi="Arial" w:eastAsia="Arial"/>
                <w:b w:val="0"/>
                <w:i w:val="0"/>
                <w:color w:val="2A3140"/>
                <w:sz w:val="17"/>
              </w:rPr>
              <w:t>6.7 / 7.4 / 7.9</w:t>
            </w:r>
          </w:p>
        </w:tc>
        <w:tc>
          <w:tcPr>
            <w:tcW w:type="dxa" w:w="2091"/>
          </w:tcPr>
          <w:p>
            <w:r>
              <w:rPr>
                <w:rFonts w:ascii="Arial" w:hAnsi="Arial" w:eastAsia="Arial"/>
                <w:b w:val="0"/>
                <w:i w:val="0"/>
                <w:color w:val="2A3140"/>
                <w:sz w:val="17"/>
              </w:rPr>
              <w:t>8.0 / 8.0 / 8.2</w:t>
            </w:r>
          </w:p>
        </w:tc>
      </w:tr>
      <w:tr>
        <w:tc>
          <w:tcPr>
            <w:tcW w:type="dxa" w:w="4282"/>
          </w:tcPr>
          <w:p>
            <w:r>
              <w:rPr>
                <w:rFonts w:ascii="Arial" w:hAnsi="Arial" w:eastAsia="Arial"/>
                <w:b w:val="0"/>
                <w:i w:val="0"/>
                <w:color w:val="2A3140"/>
                <w:sz w:val="17"/>
              </w:rPr>
              <w:t>Total revenue: Scenario 1 / 2 / 3</w:t>
            </w:r>
          </w:p>
        </w:tc>
        <w:tc>
          <w:tcPr>
            <w:tcW w:type="dxa" w:w="1494"/>
          </w:tcPr>
          <w:p>
            <w:r>
              <w:rPr>
                <w:rFonts w:ascii="Arial" w:hAnsi="Arial" w:eastAsia="Arial"/>
                <w:b w:val="0"/>
                <w:i w:val="0"/>
                <w:color w:val="2A3140"/>
                <w:sz w:val="17"/>
              </w:rPr>
              <w:t>338 / 412 / 480</w:t>
            </w:r>
          </w:p>
        </w:tc>
        <w:tc>
          <w:tcPr>
            <w:tcW w:type="dxa" w:w="1494"/>
          </w:tcPr>
          <w:p>
            <w:r>
              <w:rPr>
                <w:rFonts w:ascii="Arial" w:hAnsi="Arial" w:eastAsia="Arial"/>
                <w:b w:val="0"/>
                <w:i w:val="0"/>
                <w:color w:val="2A3140"/>
                <w:sz w:val="17"/>
              </w:rPr>
              <w:t>633 / 677 / 755</w:t>
            </w:r>
          </w:p>
        </w:tc>
        <w:tc>
          <w:tcPr>
            <w:tcW w:type="dxa" w:w="2091"/>
          </w:tcPr>
          <w:p>
            <w:r>
              <w:rPr>
                <w:rFonts w:ascii="Arial" w:hAnsi="Arial" w:eastAsia="Arial"/>
                <w:b w:val="0"/>
                <w:i w:val="0"/>
                <w:color w:val="2A3140"/>
                <w:sz w:val="17"/>
              </w:rPr>
              <w:t>795 / 811 / 818</w:t>
            </w:r>
          </w:p>
        </w:tc>
      </w:tr>
      <w:tr>
        <w:tc>
          <w:tcPr>
            <w:tcW w:type="dxa" w:w="4282"/>
          </w:tcPr>
          <w:p>
            <w:r>
              <w:rPr>
                <w:rFonts w:ascii="Arial" w:hAnsi="Arial" w:eastAsia="Arial"/>
                <w:b w:val="0"/>
                <w:i w:val="0"/>
                <w:color w:val="2A3140"/>
                <w:sz w:val="17"/>
              </w:rPr>
              <w:t>EBITDA (OS definition): Scenario 1 / 2 / 3</w:t>
            </w:r>
          </w:p>
        </w:tc>
        <w:tc>
          <w:tcPr>
            <w:tcW w:type="dxa" w:w="1494"/>
          </w:tcPr>
          <w:p>
            <w:r>
              <w:rPr>
                <w:rFonts w:ascii="Arial" w:hAnsi="Arial" w:eastAsia="Arial"/>
                <w:b w:val="0"/>
                <w:i w:val="0"/>
                <w:color w:val="2A3140"/>
                <w:sz w:val="17"/>
              </w:rPr>
              <w:t>139 / 207 / 272</w:t>
            </w:r>
          </w:p>
        </w:tc>
        <w:tc>
          <w:tcPr>
            <w:tcW w:type="dxa" w:w="1494"/>
          </w:tcPr>
          <w:p>
            <w:r>
              <w:rPr>
                <w:rFonts w:ascii="Arial" w:hAnsi="Arial" w:eastAsia="Arial"/>
                <w:b w:val="0"/>
                <w:i w:val="0"/>
                <w:color w:val="2A3140"/>
                <w:sz w:val="17"/>
              </w:rPr>
              <w:t>410 / 449 / 522</w:t>
            </w:r>
          </w:p>
        </w:tc>
        <w:tc>
          <w:tcPr>
            <w:tcW w:type="dxa" w:w="2091"/>
          </w:tcPr>
          <w:p>
            <w:r>
              <w:rPr>
                <w:rFonts w:ascii="Arial" w:hAnsi="Arial" w:eastAsia="Arial"/>
                <w:b w:val="0"/>
                <w:i w:val="0"/>
                <w:color w:val="2A3140"/>
                <w:sz w:val="17"/>
              </w:rPr>
              <w:t>555 / 571 / 577</w:t>
            </w:r>
          </w:p>
        </w:tc>
      </w:tr>
      <w:tr>
        <w:tc>
          <w:tcPr>
            <w:tcW w:type="dxa" w:w="4282"/>
          </w:tcPr>
          <w:p>
            <w:r>
              <w:rPr>
                <w:rFonts w:ascii="Arial" w:hAnsi="Arial" w:eastAsia="Arial"/>
                <w:b w:val="0"/>
                <w:i w:val="0"/>
                <w:color w:val="2A3140"/>
                <w:sz w:val="17"/>
              </w:rPr>
              <w:t>Scenario 2: average fare ($, published)</w:t>
            </w:r>
          </w:p>
        </w:tc>
        <w:tc>
          <w:tcPr>
            <w:tcW w:type="dxa" w:w="1494"/>
          </w:tcPr>
          <w:p>
            <w:pPr>
              <w:jc w:val="right"/>
            </w:pPr>
            <w:r>
              <w:rPr>
                <w:rFonts w:ascii="Arial" w:hAnsi="Arial" w:eastAsia="Arial"/>
                <w:b w:val="0"/>
                <w:i w:val="0"/>
                <w:color w:val="2A3140"/>
                <w:sz w:val="17"/>
              </w:rPr>
              <w:t>$70.96</w:t>
            </w:r>
          </w:p>
        </w:tc>
        <w:tc>
          <w:tcPr>
            <w:tcW w:type="dxa" w:w="1494"/>
          </w:tcPr>
          <w:p>
            <w:pPr>
              <w:jc w:val="right"/>
            </w:pPr>
            <w:r>
              <w:rPr>
                <w:rFonts w:ascii="Arial" w:hAnsi="Arial" w:eastAsia="Arial"/>
                <w:b w:val="0"/>
                <w:i w:val="0"/>
                <w:color w:val="2A3140"/>
                <w:sz w:val="17"/>
              </w:rPr>
              <w:t>$79.16</w:t>
            </w:r>
          </w:p>
        </w:tc>
        <w:tc>
          <w:tcPr>
            <w:tcW w:type="dxa" w:w="2091"/>
          </w:tcPr>
          <w:p>
            <w:pPr>
              <w:jc w:val="right"/>
            </w:pPr>
            <w:r>
              <w:rPr>
                <w:rFonts w:ascii="Arial" w:hAnsi="Arial" w:eastAsia="Arial"/>
                <w:b w:val="0"/>
                <w:i w:val="0"/>
                <w:color w:val="2A3140"/>
                <w:sz w:val="17"/>
              </w:rPr>
              <w:t>$86.77</w:t>
            </w:r>
          </w:p>
        </w:tc>
      </w:tr>
      <w:tr>
        <w:tc>
          <w:tcPr>
            <w:tcW w:type="dxa" w:w="4282"/>
          </w:tcPr>
          <w:p>
            <w:r>
              <w:rPr>
                <w:rFonts w:ascii="Arial" w:hAnsi="Arial" w:eastAsia="Arial"/>
                <w:b w:val="0"/>
                <w:i w:val="0"/>
                <w:color w:val="2A3140"/>
                <w:sz w:val="17"/>
              </w:rPr>
              <w:t>Scenario 2: CFADS / net OpCo debt service</w:t>
            </w:r>
          </w:p>
        </w:tc>
        <w:tc>
          <w:tcPr>
            <w:tcW w:type="dxa" w:w="1494"/>
          </w:tcPr>
          <w:p>
            <w:r>
              <w:rPr>
                <w:rFonts w:ascii="Arial" w:hAnsi="Arial" w:eastAsia="Arial"/>
                <w:b w:val="0"/>
                <w:i w:val="0"/>
                <w:color w:val="2A3140"/>
                <w:sz w:val="17"/>
              </w:rPr>
              <w:t>175 / prefunded</w:t>
            </w:r>
          </w:p>
        </w:tc>
        <w:tc>
          <w:tcPr>
            <w:tcW w:type="dxa" w:w="1494"/>
          </w:tcPr>
          <w:p>
            <w:r>
              <w:rPr>
                <w:rFonts w:ascii="Arial" w:hAnsi="Arial" w:eastAsia="Arial"/>
                <w:b w:val="0"/>
                <w:i w:val="0"/>
                <w:color w:val="2A3140"/>
                <w:sz w:val="17"/>
              </w:rPr>
              <w:t>414 / prefunded</w:t>
            </w:r>
          </w:p>
        </w:tc>
        <w:tc>
          <w:tcPr>
            <w:tcW w:type="dxa" w:w="2091"/>
          </w:tcPr>
          <w:p>
            <w:r>
              <w:rPr>
                <w:rFonts w:ascii="Arial" w:hAnsi="Arial" w:eastAsia="Arial"/>
                <w:b w:val="0"/>
                <w:i w:val="0"/>
                <w:color w:val="2A3140"/>
                <w:sz w:val="17"/>
              </w:rPr>
              <w:t>620 / 117</w:t>
            </w:r>
          </w:p>
        </w:tc>
      </w:tr>
      <w:tr>
        <w:tc>
          <w:tcPr>
            <w:tcW w:type="dxa" w:w="4282"/>
          </w:tcPr>
          <w:p>
            <w:r>
              <w:rPr>
                <w:rFonts w:ascii="Arial" w:hAnsi="Arial" w:eastAsia="Arial"/>
                <w:b w:val="0"/>
                <w:i w:val="0"/>
                <w:color w:val="2A3140"/>
                <w:sz w:val="17"/>
              </w:rPr>
              <w:t>Actual riders</w:t>
            </w:r>
          </w:p>
        </w:tc>
        <w:tc>
          <w:tcPr>
            <w:tcW w:type="dxa" w:w="1494"/>
          </w:tcPr>
          <w:p>
            <w:pPr>
              <w:jc w:val="right"/>
            </w:pPr>
            <w:r>
              <w:rPr>
                <w:rFonts w:ascii="Arial" w:hAnsi="Arial" w:eastAsia="Arial"/>
                <w:b w:val="0"/>
                <w:i w:val="0"/>
                <w:color w:val="2A3140"/>
                <w:sz w:val="17"/>
              </w:rPr>
              <w:t>2,763,512</w:t>
            </w:r>
          </w:p>
        </w:tc>
        <w:tc>
          <w:tcPr>
            <w:tcW w:type="dxa" w:w="1494"/>
          </w:tcPr>
          <w:p>
            <w:pPr>
              <w:jc w:val="right"/>
            </w:pPr>
            <w:r>
              <w:rPr>
                <w:rFonts w:ascii="Arial" w:hAnsi="Arial" w:eastAsia="Arial"/>
                <w:b w:val="0"/>
                <w:i w:val="0"/>
                <w:color w:val="2A3140"/>
                <w:sz w:val="17"/>
              </w:rPr>
              <w:t>3,116,323</w:t>
            </w:r>
          </w:p>
        </w:tc>
        <w:tc>
          <w:tcPr>
            <w:tcW w:type="dxa" w:w="2091"/>
          </w:tcPr>
          <w:p>
            <w:r>
              <w:rPr>
                <w:rFonts w:ascii="Arial" w:hAnsi="Arial" w:eastAsia="Arial"/>
                <w:b w:val="0"/>
                <w:i w:val="0"/>
                <w:color w:val="2A3140"/>
                <w:sz w:val="17"/>
              </w:rPr>
              <w:t>1,789,676 (6M Jun-26)</w:t>
            </w:r>
          </w:p>
        </w:tc>
      </w:tr>
      <w:tr>
        <w:tc>
          <w:tcPr>
            <w:tcW w:type="dxa" w:w="4282"/>
          </w:tcPr>
          <w:p>
            <w:r>
              <w:rPr>
                <w:rFonts w:ascii="Arial" w:hAnsi="Arial" w:eastAsia="Arial"/>
                <w:b w:val="0"/>
                <w:i w:val="0"/>
                <w:color w:val="2A3140"/>
                <w:sz w:val="17"/>
              </w:rPr>
              <w:t>Actual total revenue (monthly-report basis)</w:t>
            </w:r>
          </w:p>
        </w:tc>
        <w:tc>
          <w:tcPr>
            <w:tcW w:type="dxa" w:w="1494"/>
          </w:tcPr>
          <w:p>
            <w:pPr>
              <w:jc w:val="right"/>
            </w:pPr>
            <w:r>
              <w:rPr>
                <w:rFonts w:ascii="Arial" w:hAnsi="Arial" w:eastAsia="Arial"/>
                <w:b w:val="0"/>
                <w:i w:val="0"/>
                <w:color w:val="2A3140"/>
                <w:sz w:val="17"/>
              </w:rPr>
              <w:t>187.9</w:t>
            </w:r>
          </w:p>
        </w:tc>
        <w:tc>
          <w:tcPr>
            <w:tcW w:type="dxa" w:w="1494"/>
          </w:tcPr>
          <w:p>
            <w:pPr>
              <w:jc w:val="right"/>
            </w:pPr>
            <w:r>
              <w:rPr>
                <w:rFonts w:ascii="Arial" w:hAnsi="Arial" w:eastAsia="Arial"/>
                <w:b w:val="0"/>
                <w:i w:val="0"/>
                <w:color w:val="2A3140"/>
                <w:sz w:val="17"/>
              </w:rPr>
              <w:t>214.0</w:t>
            </w:r>
          </w:p>
        </w:tc>
        <w:tc>
          <w:tcPr>
            <w:tcW w:type="dxa" w:w="2091"/>
          </w:tcPr>
          <w:p>
            <w:r>
              <w:rPr>
                <w:rFonts w:ascii="Arial" w:hAnsi="Arial" w:eastAsia="Arial"/>
                <w:b w:val="0"/>
                <w:i w:val="0"/>
                <w:color w:val="2A3140"/>
                <w:sz w:val="17"/>
              </w:rPr>
              <w:t>124.0 (6M Jun-26)</w:t>
            </w:r>
          </w:p>
        </w:tc>
      </w:tr>
      <w:tr>
        <w:tc>
          <w:tcPr>
            <w:tcW w:type="dxa" w:w="4282"/>
          </w:tcPr>
          <w:p>
            <w:r>
              <w:rPr>
                <w:rFonts w:ascii="Arial" w:hAnsi="Arial" w:eastAsia="Arial"/>
                <w:b w:val="0"/>
                <w:i w:val="0"/>
                <w:color w:val="2A3140"/>
                <w:sz w:val="17"/>
              </w:rPr>
              <w:t>Actual average fare ($)</w:t>
            </w:r>
          </w:p>
        </w:tc>
        <w:tc>
          <w:tcPr>
            <w:tcW w:type="dxa" w:w="1494"/>
          </w:tcPr>
          <w:p>
            <w:pPr>
              <w:jc w:val="right"/>
            </w:pPr>
            <w:r>
              <w:rPr>
                <w:rFonts w:ascii="Arial" w:hAnsi="Arial" w:eastAsia="Arial"/>
                <w:b w:val="0"/>
                <w:i w:val="0"/>
                <w:color w:val="2A3140"/>
                <w:sz w:val="17"/>
              </w:rPr>
              <w:t>$55.18</w:t>
            </w:r>
          </w:p>
        </w:tc>
        <w:tc>
          <w:tcPr>
            <w:tcW w:type="dxa" w:w="1494"/>
          </w:tcPr>
          <w:p>
            <w:pPr>
              <w:jc w:val="right"/>
            </w:pPr>
            <w:r>
              <w:rPr>
                <w:rFonts w:ascii="Arial" w:hAnsi="Arial" w:eastAsia="Arial"/>
                <w:b w:val="0"/>
                <w:i w:val="0"/>
                <w:color w:val="2A3140"/>
                <w:sz w:val="17"/>
              </w:rPr>
              <w:t>$55.59</w:t>
            </w:r>
          </w:p>
        </w:tc>
        <w:tc>
          <w:tcPr>
            <w:tcW w:type="dxa" w:w="2091"/>
          </w:tcPr>
          <w:p>
            <w:r>
              <w:rPr>
                <w:rFonts w:ascii="Arial" w:hAnsi="Arial" w:eastAsia="Arial"/>
                <w:b w:val="0"/>
                <w:i w:val="0"/>
                <w:color w:val="2A3140"/>
                <w:sz w:val="17"/>
              </w:rPr>
              <w:t>$55.65 (6M Jun-26)</w:t>
            </w:r>
          </w:p>
        </w:tc>
      </w:tr>
    </w:tbl>
    <w:p>
      <w:pPr>
        <w:spacing w:after="40"/>
      </w:pPr>
    </w:p>
    <w:p>
      <w:r>
        <w:rPr>
          <w:rFonts w:ascii="Arial" w:hAnsi="Arial" w:eastAsia="Arial"/>
          <w:b w:val="0"/>
          <w:i/>
          <w:color w:val="5B6475"/>
          <w:sz w:val="16"/>
        </w:rPr>
        <w:t>Source: Series 2024 official statement, Projections [E1]; monthly reports [E3–E5]; Exhibits 1 and 4.</w:t>
      </w:r>
    </w:p>
    <w:p>
      <w:r>
        <w:rPr>
          <w:rFonts w:ascii="Arial" w:hAnsi="Arial" w:eastAsia="Arial"/>
          <w:b w:val="0"/>
          <w:i w:val="0"/>
          <w:color w:val="2A3140"/>
          <w:sz w:val="21"/>
        </w:rPr>
        <w:t>From 2027 the projection grows revenue from $860M to $1,222M in 2034 with a published OpCo debt service coverage ratio (DSCR, CFADS ÷ net debt service) of 5.3x in 2027 rising to 6.9x in 2033 (Exhibit 4). The official statement does not publish a loan life coverage ratio (LLCR).</w:t>
      </w:r>
    </w:p>
    <w:p>
      <w:r>
        <w:rPr>
          <w:rFonts w:ascii="Arial" w:hAnsi="Arial" w:eastAsia="Arial"/>
          <w:b/>
          <w:i w:val="0"/>
          <w:color w:val="2A3140"/>
          <w:sz w:val="21"/>
        </w:rPr>
        <w:t>Operating history (audited OpCo statements, $M).</w:t>
      </w:r>
      <w:r>
        <w:rPr>
          <w:rFonts w:ascii="Arial" w:hAnsi="Arial" w:eastAsia="Arial"/>
          <w:b w:val="0"/>
          <w:i w:val="0"/>
          <w:color w:val="2A3140"/>
          <w:sz w:val="21"/>
        </w:rPr>
        <w:t xml:space="preserve"> EBITDA is not reported; the two lines below are calculated from audited figures (definitions in the README).</w:t>
      </w:r>
    </w:p>
    <w:tbl>
      <w:tblPr>
        <w:tblW w:type="dxa" w:w="9360"/>
        <w:jc w:val="center"/>
        <w:tblLayout w:type="fixed"/>
        <w:tblLook w:firstColumn="1" w:firstRow="1" w:lastColumn="0" w:lastRow="0" w:noHBand="0" w:noVBand="1" w:val="04A0"/>
        <w:tblBorders>
          <w:top w:val="single" w:sz="4" w:color="DDDCD4"/>
          <w:bottom w:val="single" w:sz="4" w:color="DDDCD4"/>
          <w:insideH w:val="single" w:sz="4" w:color="DDDCD4"/>
          <w:left w:val="nil"/>
          <w:right w:val="nil"/>
          <w:insideV w:val="nil"/>
        </w:tblBorders>
      </w:tblPr>
      <w:tblGrid>
        <w:gridCol w:w="5349"/>
        <w:gridCol w:w="1337"/>
        <w:gridCol w:w="1337"/>
        <w:gridCol w:w="1337"/>
      </w:tblGrid>
      <w:tr>
        <w:tc>
          <w:tcPr>
            <w:tcW w:type="dxa" w:w="5349"/>
            <w:shd w:val="clear" w:color="auto" w:fill="E4EAF3"/>
          </w:tcPr>
          <w:p>
            <w:r>
              <w:rPr>
                <w:rFonts w:ascii="Arial" w:hAnsi="Arial" w:eastAsia="Arial"/>
                <w:b/>
                <w:i w:val="0"/>
                <w:color w:val="121826"/>
                <w:sz w:val="17"/>
              </w:rPr>
              <w:t>$M (FYE December)</w:t>
            </w:r>
          </w:p>
        </w:tc>
        <w:tc>
          <w:tcPr>
            <w:tcW w:type="dxa" w:w="1337"/>
            <w:shd w:val="clear" w:color="auto" w:fill="E4EAF3"/>
          </w:tcPr>
          <w:p>
            <w:pPr>
              <w:jc w:val="right"/>
            </w:pPr>
            <w:r>
              <w:rPr>
                <w:rFonts w:ascii="Arial" w:hAnsi="Arial" w:eastAsia="Arial"/>
                <w:b/>
                <w:i w:val="0"/>
                <w:color w:val="121826"/>
                <w:sz w:val="17"/>
              </w:rPr>
              <w:t>FY23A</w:t>
            </w:r>
          </w:p>
        </w:tc>
        <w:tc>
          <w:tcPr>
            <w:tcW w:type="dxa" w:w="1337"/>
            <w:shd w:val="clear" w:color="auto" w:fill="E4EAF3"/>
          </w:tcPr>
          <w:p>
            <w:pPr>
              <w:jc w:val="right"/>
            </w:pPr>
            <w:r>
              <w:rPr>
                <w:rFonts w:ascii="Arial" w:hAnsi="Arial" w:eastAsia="Arial"/>
                <w:b/>
                <w:i w:val="0"/>
                <w:color w:val="121826"/>
                <w:sz w:val="17"/>
              </w:rPr>
              <w:t>FY24A</w:t>
            </w:r>
          </w:p>
        </w:tc>
        <w:tc>
          <w:tcPr>
            <w:tcW w:type="dxa" w:w="1337"/>
            <w:shd w:val="clear" w:color="auto" w:fill="E4EAF3"/>
          </w:tcPr>
          <w:p>
            <w:pPr>
              <w:jc w:val="right"/>
            </w:pPr>
            <w:r>
              <w:rPr>
                <w:rFonts w:ascii="Arial" w:hAnsi="Arial" w:eastAsia="Arial"/>
                <w:b/>
                <w:i w:val="0"/>
                <w:color w:val="121826"/>
                <w:sz w:val="17"/>
              </w:rPr>
              <w:t>FY25A</w:t>
            </w:r>
          </w:p>
        </w:tc>
      </w:tr>
      <w:tr>
        <w:tc>
          <w:tcPr>
            <w:tcW w:type="dxa" w:w="5349"/>
          </w:tcPr>
          <w:p>
            <w:r>
              <w:rPr>
                <w:rFonts w:ascii="Arial" w:hAnsi="Arial" w:eastAsia="Arial"/>
                <w:b w:val="0"/>
                <w:i w:val="0"/>
                <w:color w:val="2A3140"/>
                <w:sz w:val="17"/>
              </w:rPr>
              <w:t>Passenger ticket revenue</w:t>
            </w:r>
          </w:p>
        </w:tc>
        <w:tc>
          <w:tcPr>
            <w:tcW w:type="dxa" w:w="1337"/>
          </w:tcPr>
          <w:p>
            <w:pPr>
              <w:jc w:val="right"/>
            </w:pPr>
            <w:r>
              <w:rPr>
                <w:rFonts w:ascii="Arial" w:hAnsi="Arial" w:eastAsia="Arial"/>
                <w:b w:val="0"/>
                <w:i w:val="0"/>
                <w:color w:val="2A3140"/>
                <w:sz w:val="17"/>
              </w:rPr>
              <w:t>65.1</w:t>
            </w:r>
          </w:p>
        </w:tc>
        <w:tc>
          <w:tcPr>
            <w:tcW w:type="dxa" w:w="1337"/>
          </w:tcPr>
          <w:p>
            <w:pPr>
              <w:jc w:val="right"/>
            </w:pPr>
            <w:r>
              <w:rPr>
                <w:rFonts w:ascii="Arial" w:hAnsi="Arial" w:eastAsia="Arial"/>
                <w:b w:val="0"/>
                <w:i w:val="0"/>
                <w:color w:val="2A3140"/>
                <w:sz w:val="17"/>
              </w:rPr>
              <w:t>152.5</w:t>
            </w:r>
          </w:p>
        </w:tc>
        <w:tc>
          <w:tcPr>
            <w:tcW w:type="dxa" w:w="1337"/>
          </w:tcPr>
          <w:p>
            <w:pPr>
              <w:jc w:val="right"/>
            </w:pPr>
            <w:r>
              <w:rPr>
                <w:rFonts w:ascii="Arial" w:hAnsi="Arial" w:eastAsia="Arial"/>
                <w:b w:val="0"/>
                <w:i w:val="0"/>
                <w:color w:val="2A3140"/>
                <w:sz w:val="17"/>
              </w:rPr>
              <w:t>173.2</w:t>
            </w:r>
          </w:p>
        </w:tc>
      </w:tr>
      <w:tr>
        <w:tc>
          <w:tcPr>
            <w:tcW w:type="dxa" w:w="5349"/>
          </w:tcPr>
          <w:p>
            <w:r>
              <w:rPr>
                <w:rFonts w:ascii="Arial" w:hAnsi="Arial" w:eastAsia="Arial"/>
                <w:b w:val="0"/>
                <w:i w:val="0"/>
                <w:color w:val="2A3140"/>
                <w:sz w:val="17"/>
              </w:rPr>
              <w:t>Total revenue</w:t>
            </w:r>
          </w:p>
        </w:tc>
        <w:tc>
          <w:tcPr>
            <w:tcW w:type="dxa" w:w="1337"/>
          </w:tcPr>
          <w:p>
            <w:pPr>
              <w:jc w:val="right"/>
            </w:pPr>
            <w:r>
              <w:rPr>
                <w:rFonts w:ascii="Arial" w:hAnsi="Arial" w:eastAsia="Arial"/>
                <w:b w:val="0"/>
                <w:i w:val="0"/>
                <w:color w:val="2A3140"/>
                <w:sz w:val="17"/>
              </w:rPr>
              <w:t>87.7</w:t>
            </w:r>
          </w:p>
        </w:tc>
        <w:tc>
          <w:tcPr>
            <w:tcW w:type="dxa" w:w="1337"/>
          </w:tcPr>
          <w:p>
            <w:pPr>
              <w:jc w:val="right"/>
            </w:pPr>
            <w:r>
              <w:rPr>
                <w:rFonts w:ascii="Arial" w:hAnsi="Arial" w:eastAsia="Arial"/>
                <w:b w:val="0"/>
                <w:i w:val="0"/>
                <w:color w:val="2A3140"/>
                <w:sz w:val="17"/>
              </w:rPr>
              <w:t>187.9</w:t>
            </w:r>
          </w:p>
        </w:tc>
        <w:tc>
          <w:tcPr>
            <w:tcW w:type="dxa" w:w="1337"/>
          </w:tcPr>
          <w:p>
            <w:pPr>
              <w:jc w:val="right"/>
            </w:pPr>
            <w:r>
              <w:rPr>
                <w:rFonts w:ascii="Arial" w:hAnsi="Arial" w:eastAsia="Arial"/>
                <w:b w:val="0"/>
                <w:i w:val="0"/>
                <w:color w:val="2A3140"/>
                <w:sz w:val="17"/>
              </w:rPr>
              <w:t>214.0</w:t>
            </w:r>
          </w:p>
        </w:tc>
      </w:tr>
      <w:tr>
        <w:tc>
          <w:tcPr>
            <w:tcW w:type="dxa" w:w="5349"/>
          </w:tcPr>
          <w:p>
            <w:r>
              <w:rPr>
                <w:rFonts w:ascii="Arial" w:hAnsi="Arial" w:eastAsia="Arial"/>
                <w:b w:val="0"/>
                <w:i w:val="0"/>
                <w:color w:val="2A3140"/>
                <w:sz w:val="17"/>
              </w:rPr>
              <w:t>(−) Train operating costs before depreciation</w:t>
            </w:r>
          </w:p>
        </w:tc>
        <w:tc>
          <w:tcPr>
            <w:tcW w:type="dxa" w:w="1337"/>
          </w:tcPr>
          <w:p>
            <w:pPr>
              <w:jc w:val="right"/>
            </w:pPr>
            <w:r>
              <w:rPr>
                <w:rFonts w:ascii="Arial" w:hAnsi="Arial" w:eastAsia="Arial"/>
                <w:b w:val="0"/>
                <w:i w:val="0"/>
                <w:color w:val="2A3140"/>
                <w:sz w:val="17"/>
              </w:rPr>
              <w:t>105.4</w:t>
            </w:r>
          </w:p>
        </w:tc>
        <w:tc>
          <w:tcPr>
            <w:tcW w:type="dxa" w:w="1337"/>
          </w:tcPr>
          <w:p>
            <w:pPr>
              <w:jc w:val="right"/>
            </w:pPr>
            <w:r>
              <w:rPr>
                <w:rFonts w:ascii="Arial" w:hAnsi="Arial" w:eastAsia="Arial"/>
                <w:b w:val="0"/>
                <w:i w:val="0"/>
                <w:color w:val="2A3140"/>
                <w:sz w:val="17"/>
              </w:rPr>
              <w:t>157.2</w:t>
            </w:r>
          </w:p>
        </w:tc>
        <w:tc>
          <w:tcPr>
            <w:tcW w:type="dxa" w:w="1337"/>
          </w:tcPr>
          <w:p>
            <w:pPr>
              <w:jc w:val="right"/>
            </w:pPr>
            <w:r>
              <w:rPr>
                <w:rFonts w:ascii="Arial" w:hAnsi="Arial" w:eastAsia="Arial"/>
                <w:b w:val="0"/>
                <w:i w:val="0"/>
                <w:color w:val="2A3140"/>
                <w:sz w:val="17"/>
              </w:rPr>
              <w:t>141.8</w:t>
            </w:r>
          </w:p>
        </w:tc>
      </w:tr>
      <w:tr>
        <w:tc>
          <w:tcPr>
            <w:tcW w:type="dxa" w:w="5349"/>
          </w:tcPr>
          <w:p>
            <w:r>
              <w:rPr>
                <w:rFonts w:ascii="Arial" w:hAnsi="Arial" w:eastAsia="Arial"/>
                <w:b w:val="0"/>
                <w:i w:val="0"/>
                <w:color w:val="2A3140"/>
                <w:sz w:val="17"/>
              </w:rPr>
              <w:t>Train-level EBITDA</w:t>
            </w:r>
          </w:p>
        </w:tc>
        <w:tc>
          <w:tcPr>
            <w:tcW w:type="dxa" w:w="1337"/>
          </w:tcPr>
          <w:p>
            <w:pPr>
              <w:jc w:val="right"/>
            </w:pPr>
            <w:r>
              <w:rPr>
                <w:rFonts w:ascii="Arial" w:hAnsi="Arial" w:eastAsia="Arial"/>
                <w:b w:val="0"/>
                <w:i w:val="0"/>
                <w:color w:val="2A3140"/>
                <w:sz w:val="17"/>
              </w:rPr>
              <w:t>(17.7)</w:t>
            </w:r>
          </w:p>
        </w:tc>
        <w:tc>
          <w:tcPr>
            <w:tcW w:type="dxa" w:w="1337"/>
          </w:tcPr>
          <w:p>
            <w:pPr>
              <w:jc w:val="right"/>
            </w:pPr>
            <w:r>
              <w:rPr>
                <w:rFonts w:ascii="Arial" w:hAnsi="Arial" w:eastAsia="Arial"/>
                <w:b w:val="0"/>
                <w:i w:val="0"/>
                <w:color w:val="2A3140"/>
                <w:sz w:val="17"/>
              </w:rPr>
              <w:t>30.7</w:t>
            </w:r>
          </w:p>
        </w:tc>
        <w:tc>
          <w:tcPr>
            <w:tcW w:type="dxa" w:w="1337"/>
          </w:tcPr>
          <w:p>
            <w:pPr>
              <w:jc w:val="right"/>
            </w:pPr>
            <w:r>
              <w:rPr>
                <w:rFonts w:ascii="Arial" w:hAnsi="Arial" w:eastAsia="Arial"/>
                <w:b w:val="0"/>
                <w:i w:val="0"/>
                <w:color w:val="2A3140"/>
                <w:sz w:val="17"/>
              </w:rPr>
              <w:t>72.3</w:t>
            </w:r>
          </w:p>
        </w:tc>
      </w:tr>
      <w:tr>
        <w:tc>
          <w:tcPr>
            <w:tcW w:type="dxa" w:w="5349"/>
          </w:tcPr>
          <w:p>
            <w:r>
              <w:rPr>
                <w:rFonts w:ascii="Arial" w:hAnsi="Arial" w:eastAsia="Arial"/>
                <w:b w:val="0"/>
                <w:i w:val="0"/>
                <w:color w:val="2A3140"/>
                <w:sz w:val="17"/>
              </w:rPr>
              <w:t>(−) Corporate, general and administrative, and expansion</w:t>
            </w:r>
          </w:p>
        </w:tc>
        <w:tc>
          <w:tcPr>
            <w:tcW w:type="dxa" w:w="1337"/>
          </w:tcPr>
          <w:p>
            <w:r>
              <w:rPr>
                <w:rFonts w:ascii="Arial" w:hAnsi="Arial" w:eastAsia="Arial"/>
                <w:b w:val="0"/>
                <w:i w:val="0"/>
                <w:color w:val="2A3140"/>
                <w:sz w:val="17"/>
              </w:rPr>
              <w:t>48.9 + 19.5</w:t>
            </w:r>
          </w:p>
        </w:tc>
        <w:tc>
          <w:tcPr>
            <w:tcW w:type="dxa" w:w="1337"/>
          </w:tcPr>
          <w:p>
            <w:r>
              <w:rPr>
                <w:rFonts w:ascii="Arial" w:hAnsi="Arial" w:eastAsia="Arial"/>
                <w:b w:val="0"/>
                <w:i w:val="0"/>
                <w:color w:val="2A3140"/>
                <w:sz w:val="17"/>
              </w:rPr>
              <w:t>58.7 + 0.04</w:t>
            </w:r>
          </w:p>
        </w:tc>
        <w:tc>
          <w:tcPr>
            <w:tcW w:type="dxa" w:w="1337"/>
          </w:tcPr>
          <w:p>
            <w:r>
              <w:rPr>
                <w:rFonts w:ascii="Arial" w:hAnsi="Arial" w:eastAsia="Arial"/>
                <w:b w:val="0"/>
                <w:i w:val="0"/>
                <w:color w:val="2A3140"/>
                <w:sz w:val="17"/>
              </w:rPr>
              <w:t>59.0 + 0.06</w:t>
            </w:r>
          </w:p>
        </w:tc>
      </w:tr>
      <w:tr>
        <w:tc>
          <w:tcPr>
            <w:tcW w:type="dxa" w:w="5349"/>
          </w:tcPr>
          <w:p>
            <w:r>
              <w:rPr>
                <w:rFonts w:ascii="Arial" w:hAnsi="Arial" w:eastAsia="Arial"/>
                <w:b w:val="0"/>
                <w:i w:val="0"/>
                <w:color w:val="2A3140"/>
                <w:sz w:val="17"/>
              </w:rPr>
              <w:t>EBITDA after corporate costs</w:t>
            </w:r>
          </w:p>
        </w:tc>
        <w:tc>
          <w:tcPr>
            <w:tcW w:type="dxa" w:w="1337"/>
          </w:tcPr>
          <w:p>
            <w:pPr>
              <w:jc w:val="right"/>
            </w:pPr>
            <w:r>
              <w:rPr>
                <w:rFonts w:ascii="Arial" w:hAnsi="Arial" w:eastAsia="Arial"/>
                <w:b w:val="0"/>
                <w:i w:val="0"/>
                <w:color w:val="2A3140"/>
                <w:sz w:val="17"/>
              </w:rPr>
              <w:t>(86.1)</w:t>
            </w:r>
          </w:p>
        </w:tc>
        <w:tc>
          <w:tcPr>
            <w:tcW w:type="dxa" w:w="1337"/>
          </w:tcPr>
          <w:p>
            <w:pPr>
              <w:jc w:val="right"/>
            </w:pPr>
            <w:r>
              <w:rPr>
                <w:rFonts w:ascii="Arial" w:hAnsi="Arial" w:eastAsia="Arial"/>
                <w:b w:val="0"/>
                <w:i w:val="0"/>
                <w:color w:val="2A3140"/>
                <w:sz w:val="17"/>
              </w:rPr>
              <w:t>(28.0)</w:t>
            </w:r>
          </w:p>
        </w:tc>
        <w:tc>
          <w:tcPr>
            <w:tcW w:type="dxa" w:w="1337"/>
          </w:tcPr>
          <w:p>
            <w:pPr>
              <w:jc w:val="right"/>
            </w:pPr>
            <w:r>
              <w:rPr>
                <w:rFonts w:ascii="Arial" w:hAnsi="Arial" w:eastAsia="Arial"/>
                <w:b w:val="0"/>
                <w:i w:val="0"/>
                <w:color w:val="2A3140"/>
                <w:sz w:val="17"/>
              </w:rPr>
              <w:t>13.3</w:t>
            </w:r>
          </w:p>
        </w:tc>
      </w:tr>
      <w:tr>
        <w:tc>
          <w:tcPr>
            <w:tcW w:type="dxa" w:w="5349"/>
          </w:tcPr>
          <w:p>
            <w:r>
              <w:rPr>
                <w:rFonts w:ascii="Arial" w:hAnsi="Arial" w:eastAsia="Arial"/>
                <w:b w:val="0"/>
                <w:i w:val="0"/>
                <w:color w:val="2A3140"/>
                <w:sz w:val="17"/>
              </w:rPr>
              <w:t>(−) Interest, net</w:t>
            </w:r>
          </w:p>
        </w:tc>
        <w:tc>
          <w:tcPr>
            <w:tcW w:type="dxa" w:w="1337"/>
          </w:tcPr>
          <w:p>
            <w:pPr>
              <w:jc w:val="right"/>
            </w:pPr>
            <w:r>
              <w:rPr>
                <w:rFonts w:ascii="Arial" w:hAnsi="Arial" w:eastAsia="Arial"/>
                <w:b w:val="0"/>
                <w:i w:val="0"/>
                <w:color w:val="2A3140"/>
                <w:sz w:val="17"/>
              </w:rPr>
              <w:t>143.7</w:t>
            </w:r>
          </w:p>
        </w:tc>
        <w:tc>
          <w:tcPr>
            <w:tcW w:type="dxa" w:w="1337"/>
          </w:tcPr>
          <w:p>
            <w:pPr>
              <w:jc w:val="right"/>
            </w:pPr>
            <w:r>
              <w:rPr>
                <w:rFonts w:ascii="Arial" w:hAnsi="Arial" w:eastAsia="Arial"/>
                <w:b w:val="0"/>
                <w:i w:val="0"/>
                <w:color w:val="2A3140"/>
                <w:sz w:val="17"/>
              </w:rPr>
              <w:t>177.9</w:t>
            </w:r>
          </w:p>
        </w:tc>
        <w:tc>
          <w:tcPr>
            <w:tcW w:type="dxa" w:w="1337"/>
          </w:tcPr>
          <w:p>
            <w:pPr>
              <w:jc w:val="right"/>
            </w:pPr>
            <w:r>
              <w:rPr>
                <w:rFonts w:ascii="Arial" w:hAnsi="Arial" w:eastAsia="Arial"/>
                <w:b w:val="0"/>
                <w:i w:val="0"/>
                <w:color w:val="2A3140"/>
                <w:sz w:val="17"/>
              </w:rPr>
              <w:t>114.6</w:t>
            </w:r>
          </w:p>
        </w:tc>
      </w:tr>
      <w:tr>
        <w:tc>
          <w:tcPr>
            <w:tcW w:type="dxa" w:w="5349"/>
          </w:tcPr>
          <w:p>
            <w:r>
              <w:rPr>
                <w:rFonts w:ascii="Arial" w:hAnsi="Arial" w:eastAsia="Arial"/>
                <w:b w:val="0"/>
                <w:i w:val="0"/>
                <w:color w:val="2A3140"/>
                <w:sz w:val="17"/>
              </w:rPr>
              <w:t>Net loss</w:t>
            </w:r>
          </w:p>
        </w:tc>
        <w:tc>
          <w:tcPr>
            <w:tcW w:type="dxa" w:w="1337"/>
          </w:tcPr>
          <w:p>
            <w:pPr>
              <w:jc w:val="right"/>
            </w:pPr>
            <w:r>
              <w:rPr>
                <w:rFonts w:ascii="Arial" w:hAnsi="Arial" w:eastAsia="Arial"/>
                <w:b w:val="0"/>
                <w:i w:val="0"/>
                <w:color w:val="2A3140"/>
                <w:sz w:val="17"/>
              </w:rPr>
              <w:t>(306.7)</w:t>
            </w:r>
          </w:p>
        </w:tc>
        <w:tc>
          <w:tcPr>
            <w:tcW w:type="dxa" w:w="1337"/>
          </w:tcPr>
          <w:p>
            <w:pPr>
              <w:jc w:val="right"/>
            </w:pPr>
            <w:r>
              <w:rPr>
                <w:rFonts w:ascii="Arial" w:hAnsi="Arial" w:eastAsia="Arial"/>
                <w:b w:val="0"/>
                <w:i w:val="0"/>
                <w:color w:val="2A3140"/>
                <w:sz w:val="17"/>
              </w:rPr>
              <w:t>(548.7)</w:t>
            </w:r>
          </w:p>
        </w:tc>
        <w:tc>
          <w:tcPr>
            <w:tcW w:type="dxa" w:w="1337"/>
          </w:tcPr>
          <w:p>
            <w:pPr>
              <w:jc w:val="right"/>
            </w:pPr>
            <w:r>
              <w:rPr>
                <w:rFonts w:ascii="Arial" w:hAnsi="Arial" w:eastAsia="Arial"/>
                <w:b w:val="0"/>
                <w:i w:val="0"/>
                <w:color w:val="2A3140"/>
                <w:sz w:val="17"/>
              </w:rPr>
              <w:t>(233.1)</w:t>
            </w:r>
          </w:p>
        </w:tc>
      </w:tr>
      <w:tr>
        <w:tc>
          <w:tcPr>
            <w:tcW w:type="dxa" w:w="5349"/>
          </w:tcPr>
          <w:p>
            <w:r>
              <w:rPr>
                <w:rFonts w:ascii="Arial" w:hAnsi="Arial" w:eastAsia="Arial"/>
                <w:b w:val="0"/>
                <w:i w:val="0"/>
                <w:color w:val="2A3140"/>
                <w:sz w:val="17"/>
              </w:rPr>
              <w:t>Net cash used in operating activities</w:t>
            </w:r>
          </w:p>
        </w:tc>
        <w:tc>
          <w:tcPr>
            <w:tcW w:type="dxa" w:w="1337"/>
          </w:tcPr>
          <w:p>
            <w:pPr>
              <w:jc w:val="right"/>
            </w:pPr>
            <w:r>
              <w:rPr>
                <w:rFonts w:ascii="Arial" w:hAnsi="Arial" w:eastAsia="Arial"/>
                <w:b w:val="0"/>
                <w:i w:val="0"/>
                <w:color w:val="2A3140"/>
                <w:sz w:val="17"/>
              </w:rPr>
              <w:t>(80.8)</w:t>
            </w:r>
          </w:p>
        </w:tc>
        <w:tc>
          <w:tcPr>
            <w:tcW w:type="dxa" w:w="1337"/>
          </w:tcPr>
          <w:p>
            <w:pPr>
              <w:jc w:val="right"/>
            </w:pPr>
            <w:r>
              <w:rPr>
                <w:rFonts w:ascii="Arial" w:hAnsi="Arial" w:eastAsia="Arial"/>
                <w:b w:val="0"/>
                <w:i w:val="0"/>
                <w:color w:val="2A3140"/>
                <w:sz w:val="17"/>
              </w:rPr>
              <w:t>(196.8)</w:t>
            </w:r>
          </w:p>
        </w:tc>
        <w:tc>
          <w:tcPr>
            <w:tcW w:type="dxa" w:w="1337"/>
          </w:tcPr>
          <w:p>
            <w:pPr>
              <w:jc w:val="right"/>
            </w:pPr>
            <w:r>
              <w:rPr>
                <w:rFonts w:ascii="Arial" w:hAnsi="Arial" w:eastAsia="Arial"/>
                <w:b w:val="0"/>
                <w:i w:val="0"/>
                <w:color w:val="2A3140"/>
                <w:sz w:val="17"/>
              </w:rPr>
              <w:t>(133.5)</w:t>
            </w:r>
          </w:p>
        </w:tc>
      </w:tr>
      <w:tr>
        <w:tc>
          <w:tcPr>
            <w:tcW w:type="dxa" w:w="5349"/>
          </w:tcPr>
          <w:p>
            <w:r>
              <w:rPr>
                <w:rFonts w:ascii="Arial" w:hAnsi="Arial" w:eastAsia="Arial"/>
                <w:b w:val="0"/>
                <w:i w:val="0"/>
                <w:color w:val="2A3140"/>
                <w:sz w:val="17"/>
              </w:rPr>
              <w:t>Cash paid for interest</w:t>
            </w:r>
          </w:p>
        </w:tc>
        <w:tc>
          <w:tcPr>
            <w:tcW w:type="dxa" w:w="1337"/>
          </w:tcPr>
          <w:p>
            <w:pPr>
              <w:jc w:val="right"/>
            </w:pPr>
            <w:r>
              <w:rPr>
                <w:rFonts w:ascii="Arial" w:hAnsi="Arial" w:eastAsia="Arial"/>
                <w:b w:val="0"/>
                <w:i w:val="0"/>
                <w:color w:val="2A3140"/>
                <w:sz w:val="17"/>
              </w:rPr>
              <w:t>122.9</w:t>
            </w:r>
          </w:p>
        </w:tc>
        <w:tc>
          <w:tcPr>
            <w:tcW w:type="dxa" w:w="1337"/>
          </w:tcPr>
          <w:p>
            <w:pPr>
              <w:jc w:val="right"/>
            </w:pPr>
            <w:r>
              <w:rPr>
                <w:rFonts w:ascii="Arial" w:hAnsi="Arial" w:eastAsia="Arial"/>
                <w:b w:val="0"/>
                <w:i w:val="0"/>
                <w:color w:val="2A3140"/>
                <w:sz w:val="17"/>
              </w:rPr>
              <w:t>233.0</w:t>
            </w:r>
          </w:p>
        </w:tc>
        <w:tc>
          <w:tcPr>
            <w:tcW w:type="dxa" w:w="1337"/>
          </w:tcPr>
          <w:p>
            <w:pPr>
              <w:jc w:val="right"/>
            </w:pPr>
            <w:r>
              <w:rPr>
                <w:rFonts w:ascii="Arial" w:hAnsi="Arial" w:eastAsia="Arial"/>
                <w:b w:val="0"/>
                <w:i w:val="0"/>
                <w:color w:val="2A3140"/>
                <w:sz w:val="17"/>
              </w:rPr>
              <w:t>116.1</w:t>
            </w:r>
          </w:p>
        </w:tc>
      </w:tr>
    </w:tbl>
    <w:p>
      <w:pPr>
        <w:spacing w:after="40"/>
      </w:pPr>
    </w:p>
    <w:p>
      <w:r>
        <w:rPr>
          <w:rFonts w:ascii="Arial" w:hAnsi="Arial" w:eastAsia="Arial"/>
          <w:b w:val="0"/>
          <w:i/>
          <w:color w:val="5B6475"/>
          <w:sz w:val="16"/>
        </w:rPr>
        <w:t>Source: OpCo audited financial statements FY2024 (with FY2023) and FY2025 [E6,E7]. FY23A includes about one quarter of Orlando service. The audited statements do not cover the 6M or LTM periods; the monthly reports give riders and revenue only.</w:t>
      </w:r>
    </w:p>
    <w:p>
      <w:r>
        <w:rPr>
          <w:rFonts w:ascii="Arial" w:hAnsi="Arial" w:eastAsia="Arial"/>
          <w:b w:val="0"/>
          <w:i w:val="0"/>
          <w:color w:val="2A3140"/>
          <w:sz w:val="21"/>
        </w:rPr>
        <w:t>Quarterly riders and revenue for Q1-24 to Q2-26 are in Exhibit 2, the monthly series for January–July 2025 and 2026 in Exhibit 10, and the weakest periods since Orlando opened in Exhibit 8.</w:t>
      </w:r>
    </w:p>
    <w:p>
      <w:pPr>
        <w:spacing w:before="200"/>
      </w:pPr>
      <w:r>
        <w:rPr>
          <w:rFonts w:ascii="Georgia" w:hAnsi="Georgia" w:eastAsia="Georgia"/>
          <w:b/>
          <w:i w:val="0"/>
          <w:color w:val="1E3A5F"/>
          <w:sz w:val="26"/>
        </w:rPr>
        <w:t>5. Sources and uses and pro forma capitalisation</w:t>
      </w:r>
    </w:p>
    <w:p>
      <w:r>
        <w:rPr>
          <w:rFonts w:ascii="Arial" w:hAnsi="Arial" w:eastAsia="Arial"/>
          <w:b w:val="0"/>
          <w:i w:val="0"/>
          <w:color w:val="2A3140"/>
          <w:sz w:val="21"/>
        </w:rPr>
        <w:t>Sources and uses of the exit financing (Exhibit 5, section D). The payoff of the in-court facility is not disclosed; the figure below assumes the facility is fully drawn from the petition date and repaid at the latest milestone date (ASSUMPTIONS B1–B2, an upper bound).</w:t>
      </w:r>
    </w:p>
    <w:tbl>
      <w:tblPr>
        <w:tblW w:type="dxa" w:w="9360"/>
        <w:jc w:val="center"/>
        <w:tblLayout w:type="fixed"/>
        <w:tblLook w:firstColumn="1" w:firstRow="1" w:lastColumn="0" w:lastRow="0" w:noHBand="0" w:noVBand="1" w:val="04A0"/>
        <w:tblBorders>
          <w:top w:val="single" w:sz="4" w:color="DDDCD4"/>
          <w:bottom w:val="single" w:sz="4" w:color="DDDCD4"/>
          <w:insideH w:val="single" w:sz="4" w:color="DDDCD4"/>
          <w:left w:val="nil"/>
          <w:right w:val="nil"/>
          <w:insideV w:val="nil"/>
        </w:tblBorders>
      </w:tblPr>
      <w:tblGrid>
        <w:gridCol w:w="2253"/>
        <w:gridCol w:w="953"/>
        <w:gridCol w:w="5200"/>
        <w:gridCol w:w="953"/>
      </w:tblGrid>
      <w:tr>
        <w:tc>
          <w:tcPr>
            <w:tcW w:type="dxa" w:w="2253"/>
            <w:shd w:val="clear" w:color="auto" w:fill="E4EAF3"/>
          </w:tcPr>
          <w:p>
            <w:r>
              <w:rPr>
                <w:rFonts w:ascii="Arial" w:hAnsi="Arial" w:eastAsia="Arial"/>
                <w:b/>
                <w:i w:val="0"/>
                <w:color w:val="121826"/>
                <w:sz w:val="17"/>
              </w:rPr>
              <w:t>Sources</w:t>
            </w:r>
          </w:p>
        </w:tc>
        <w:tc>
          <w:tcPr>
            <w:tcW w:type="dxa" w:w="953"/>
            <w:shd w:val="clear" w:color="auto" w:fill="E4EAF3"/>
          </w:tcPr>
          <w:p>
            <w:pPr>
              <w:jc w:val="right"/>
            </w:pPr>
            <w:r>
              <w:rPr>
                <w:rFonts w:ascii="Arial" w:hAnsi="Arial" w:eastAsia="Arial"/>
                <w:b/>
                <w:i w:val="0"/>
                <w:color w:val="121826"/>
                <w:sz w:val="17"/>
              </w:rPr>
              <w:t>$M</w:t>
            </w:r>
          </w:p>
        </w:tc>
        <w:tc>
          <w:tcPr>
            <w:tcW w:type="dxa" w:w="5200"/>
            <w:shd w:val="clear" w:color="auto" w:fill="E4EAF3"/>
          </w:tcPr>
          <w:p>
            <w:pPr>
              <w:jc w:val="right"/>
            </w:pPr>
            <w:r>
              <w:rPr>
                <w:rFonts w:ascii="Arial" w:hAnsi="Arial" w:eastAsia="Arial"/>
                <w:b/>
                <w:i w:val="0"/>
                <w:color w:val="121826"/>
                <w:sz w:val="17"/>
              </w:rPr>
              <w:t>Uses</w:t>
            </w:r>
          </w:p>
        </w:tc>
        <w:tc>
          <w:tcPr>
            <w:tcW w:type="dxa" w:w="953"/>
            <w:shd w:val="clear" w:color="auto" w:fill="E4EAF3"/>
          </w:tcPr>
          <w:p>
            <w:pPr>
              <w:jc w:val="right"/>
            </w:pPr>
            <w:r>
              <w:rPr>
                <w:rFonts w:ascii="Arial" w:hAnsi="Arial" w:eastAsia="Arial"/>
                <w:b/>
                <w:i w:val="0"/>
                <w:color w:val="121826"/>
                <w:sz w:val="17"/>
              </w:rPr>
              <w:t>$M</w:t>
            </w:r>
          </w:p>
        </w:tc>
      </w:tr>
      <w:tr>
        <w:tc>
          <w:tcPr>
            <w:tcW w:type="dxa" w:w="2253"/>
          </w:tcPr>
          <w:p>
            <w:r>
              <w:rPr>
                <w:rFonts w:ascii="Arial" w:hAnsi="Arial" w:eastAsia="Arial"/>
                <w:b w:val="0"/>
                <w:i w:val="0"/>
                <w:color w:val="2A3140"/>
                <w:sz w:val="17"/>
              </w:rPr>
              <w:t>Pari Passu OpCo Exit Notes</w:t>
            </w:r>
          </w:p>
        </w:tc>
        <w:tc>
          <w:tcPr>
            <w:tcW w:type="dxa" w:w="953"/>
          </w:tcPr>
          <w:p>
            <w:pPr>
              <w:jc w:val="right"/>
            </w:pPr>
            <w:r>
              <w:rPr>
                <w:rFonts w:ascii="Arial" w:hAnsi="Arial" w:eastAsia="Arial"/>
                <w:b w:val="0"/>
                <w:i w:val="0"/>
                <w:color w:val="2A3140"/>
                <w:sz w:val="17"/>
              </w:rPr>
              <w:t>140.0</w:t>
            </w:r>
          </w:p>
        </w:tc>
        <w:tc>
          <w:tcPr>
            <w:tcW w:type="dxa" w:w="5200"/>
          </w:tcPr>
          <w:p>
            <w:r>
              <w:rPr>
                <w:rFonts w:ascii="Arial" w:hAnsi="Arial" w:eastAsia="Arial"/>
                <w:b w:val="0"/>
                <w:i w:val="0"/>
                <w:color w:val="2A3140"/>
                <w:sz w:val="17"/>
              </w:rPr>
              <w:t>Repay the Senior Secured Brightline Facility, with PIK fee and interest (ILLUSTRATIVE)</w:t>
            </w:r>
          </w:p>
        </w:tc>
        <w:tc>
          <w:tcPr>
            <w:tcW w:type="dxa" w:w="953"/>
          </w:tcPr>
          <w:p>
            <w:pPr>
              <w:jc w:val="right"/>
            </w:pPr>
            <w:r>
              <w:rPr>
                <w:rFonts w:ascii="Arial" w:hAnsi="Arial" w:eastAsia="Arial"/>
                <w:b w:val="0"/>
                <w:i w:val="0"/>
                <w:color w:val="2A3140"/>
                <w:sz w:val="17"/>
              </w:rPr>
              <w:t>291.6</w:t>
            </w:r>
          </w:p>
        </w:tc>
      </w:tr>
      <w:tr>
        <w:tc>
          <w:tcPr>
            <w:tcW w:type="dxa" w:w="2253"/>
          </w:tcPr>
          <w:p>
            <w:r>
              <w:rPr>
                <w:rFonts w:ascii="Arial" w:hAnsi="Arial" w:eastAsia="Arial"/>
                <w:b w:val="0"/>
                <w:i w:val="0"/>
                <w:color w:val="2A3140"/>
                <w:sz w:val="17"/>
              </w:rPr>
              <w:t>Junior Exit Notes</w:t>
            </w:r>
          </w:p>
        </w:tc>
        <w:tc>
          <w:tcPr>
            <w:tcW w:type="dxa" w:w="953"/>
          </w:tcPr>
          <w:p>
            <w:pPr>
              <w:jc w:val="right"/>
            </w:pPr>
            <w:r>
              <w:rPr>
                <w:rFonts w:ascii="Arial" w:hAnsi="Arial" w:eastAsia="Arial"/>
                <w:b w:val="0"/>
                <w:i w:val="0"/>
                <w:color w:val="2A3140"/>
                <w:sz w:val="17"/>
              </w:rPr>
              <w:t>350.0</w:t>
            </w:r>
          </w:p>
        </w:tc>
        <w:tc>
          <w:tcPr>
            <w:tcW w:type="dxa" w:w="5200"/>
          </w:tcPr>
          <w:p>
            <w:r>
              <w:rPr>
                <w:rFonts w:ascii="Arial" w:hAnsi="Arial" w:eastAsia="Arial"/>
                <w:b w:val="0"/>
                <w:i w:val="0"/>
                <w:color w:val="2A3140"/>
                <w:sz w:val="17"/>
              </w:rPr>
              <w:t>General corporate purposes and exit costs (balance)</w:t>
            </w:r>
          </w:p>
        </w:tc>
        <w:tc>
          <w:tcPr>
            <w:tcW w:type="dxa" w:w="953"/>
          </w:tcPr>
          <w:p>
            <w:pPr>
              <w:jc w:val="right"/>
            </w:pPr>
            <w:r>
              <w:rPr>
                <w:rFonts w:ascii="Arial" w:hAnsi="Arial" w:eastAsia="Arial"/>
                <w:b w:val="0"/>
                <w:i w:val="0"/>
                <w:color w:val="2A3140"/>
                <w:sz w:val="17"/>
              </w:rPr>
              <w:t>198.4</w:t>
            </w:r>
          </w:p>
        </w:tc>
      </w:tr>
      <w:tr>
        <w:tc>
          <w:tcPr>
            <w:tcW w:type="dxa" w:w="2253"/>
          </w:tcPr>
          <w:p>
            <w:r>
              <w:rPr>
                <w:rFonts w:ascii="Arial" w:hAnsi="Arial" w:eastAsia="Arial"/>
                <w:b/>
                <w:i w:val="0"/>
                <w:color w:val="2A3140"/>
                <w:sz w:val="17"/>
              </w:rPr>
              <w:t>Total sources</w:t>
            </w:r>
          </w:p>
        </w:tc>
        <w:tc>
          <w:tcPr>
            <w:tcW w:type="dxa" w:w="953"/>
          </w:tcPr>
          <w:p>
            <w:r>
              <w:rPr>
                <w:rFonts w:ascii="Arial" w:hAnsi="Arial" w:eastAsia="Arial"/>
                <w:b/>
                <w:i w:val="0"/>
                <w:color w:val="2A3140"/>
                <w:sz w:val="17"/>
              </w:rPr>
              <w:t>490.0</w:t>
            </w:r>
          </w:p>
        </w:tc>
        <w:tc>
          <w:tcPr>
            <w:tcW w:type="dxa" w:w="5200"/>
          </w:tcPr>
          <w:p>
            <w:r>
              <w:rPr>
                <w:rFonts w:ascii="Arial" w:hAnsi="Arial" w:eastAsia="Arial"/>
                <w:b/>
                <w:i w:val="0"/>
                <w:color w:val="2A3140"/>
                <w:sz w:val="17"/>
              </w:rPr>
              <w:t>Total uses</w:t>
            </w:r>
          </w:p>
        </w:tc>
        <w:tc>
          <w:tcPr>
            <w:tcW w:type="dxa" w:w="953"/>
          </w:tcPr>
          <w:p>
            <w:r>
              <w:rPr>
                <w:rFonts w:ascii="Arial" w:hAnsi="Arial" w:eastAsia="Arial"/>
                <w:b/>
                <w:i w:val="0"/>
                <w:color w:val="2A3140"/>
                <w:sz w:val="17"/>
              </w:rPr>
              <w:t>490.0</w:t>
            </w:r>
          </w:p>
        </w:tc>
      </w:tr>
    </w:tbl>
    <w:p>
      <w:pPr>
        <w:spacing w:after="40"/>
      </w:pPr>
    </w:p>
    <w:p>
      <w:r>
        <w:rPr>
          <w:rFonts w:ascii="Arial" w:hAnsi="Arial" w:eastAsia="Arial"/>
          <w:b w:val="0"/>
          <w:i/>
          <w:color w:val="5B6475"/>
          <w:sz w:val="16"/>
        </w:rPr>
        <w:t>Source: RSA [E2]; Exhibit 5; ASSUMPTIONS B1–B2 are IC Simulator's.</w:t>
      </w:r>
    </w:p>
    <w:p>
      <w:r>
        <w:rPr>
          <w:rFonts w:ascii="Arial" w:hAnsi="Arial" w:eastAsia="Arial"/>
          <w:b w:val="0"/>
          <w:i w:val="0"/>
          <w:color w:val="2A3140"/>
          <w:sz w:val="21"/>
        </w:rPr>
        <w:t>Pro forma OpCo capitalisation at exit (principal before PIK accretion; multiples on FY25A train-level EBITDA of $72.3M):</w:t>
      </w:r>
    </w:p>
    <w:tbl>
      <w:tblPr>
        <w:tblW w:type="dxa" w:w="9360"/>
        <w:jc w:val="center"/>
        <w:tblLayout w:type="fixed"/>
        <w:tblLook w:firstColumn="1" w:firstRow="1" w:lastColumn="0" w:lastRow="0" w:noHBand="0" w:noVBand="1" w:val="04A0"/>
        <w:tblBorders>
          <w:top w:val="single" w:sz="4" w:color="DDDCD4"/>
          <w:bottom w:val="single" w:sz="4" w:color="DDDCD4"/>
          <w:insideH w:val="single" w:sz="4" w:color="DDDCD4"/>
          <w:left w:val="nil"/>
          <w:right w:val="nil"/>
          <w:insideV w:val="nil"/>
        </w:tblBorders>
      </w:tblPr>
      <w:tblGrid>
        <w:gridCol w:w="2885"/>
        <w:gridCol w:w="774"/>
        <w:gridCol w:w="2041"/>
        <w:gridCol w:w="1267"/>
        <w:gridCol w:w="1056"/>
        <w:gridCol w:w="1337"/>
      </w:tblGrid>
      <w:tr>
        <w:tc>
          <w:tcPr>
            <w:tcW w:type="dxa" w:w="2885"/>
            <w:shd w:val="clear" w:color="auto" w:fill="E4EAF3"/>
          </w:tcPr>
          <w:p>
            <w:r>
              <w:rPr>
                <w:rFonts w:ascii="Arial" w:hAnsi="Arial" w:eastAsia="Arial"/>
                <w:b/>
                <w:i w:val="0"/>
                <w:color w:val="121826"/>
                <w:sz w:val="17"/>
              </w:rPr>
              <w:t>Tranche</w:t>
            </w:r>
          </w:p>
        </w:tc>
        <w:tc>
          <w:tcPr>
            <w:tcW w:type="dxa" w:w="774"/>
            <w:shd w:val="clear" w:color="auto" w:fill="E4EAF3"/>
          </w:tcPr>
          <w:p>
            <w:pPr>
              <w:jc w:val="right"/>
            </w:pPr>
            <w:r>
              <w:rPr>
                <w:rFonts w:ascii="Arial" w:hAnsi="Arial" w:eastAsia="Arial"/>
                <w:b/>
                <w:i w:val="0"/>
                <w:color w:val="121826"/>
                <w:sz w:val="17"/>
              </w:rPr>
              <w:t>Amount ($M)</w:t>
            </w:r>
          </w:p>
        </w:tc>
        <w:tc>
          <w:tcPr>
            <w:tcW w:type="dxa" w:w="2041"/>
            <w:shd w:val="clear" w:color="auto" w:fill="E4EAF3"/>
          </w:tcPr>
          <w:p>
            <w:pPr>
              <w:jc w:val="right"/>
            </w:pPr>
            <w:r>
              <w:rPr>
                <w:rFonts w:ascii="Arial" w:hAnsi="Arial" w:eastAsia="Arial"/>
                <w:b/>
                <w:i w:val="0"/>
                <w:color w:val="121826"/>
                <w:sz w:val="17"/>
              </w:rPr>
              <w:t>Pricing</w:t>
            </w:r>
          </w:p>
        </w:tc>
        <w:tc>
          <w:tcPr>
            <w:tcW w:type="dxa" w:w="1267"/>
            <w:shd w:val="clear" w:color="auto" w:fill="E4EAF3"/>
          </w:tcPr>
          <w:p>
            <w:pPr>
              <w:jc w:val="right"/>
            </w:pPr>
            <w:r>
              <w:rPr>
                <w:rFonts w:ascii="Arial" w:hAnsi="Arial" w:eastAsia="Arial"/>
                <w:b/>
                <w:i w:val="0"/>
                <w:color w:val="121826"/>
                <w:sz w:val="17"/>
              </w:rPr>
              <w:t>Maturity</w:t>
            </w:r>
          </w:p>
        </w:tc>
        <w:tc>
          <w:tcPr>
            <w:tcW w:type="dxa" w:w="1056"/>
            <w:shd w:val="clear" w:color="auto" w:fill="E4EAF3"/>
          </w:tcPr>
          <w:p>
            <w:pPr>
              <w:jc w:val="right"/>
            </w:pPr>
            <w:r>
              <w:rPr>
                <w:rFonts w:ascii="Arial" w:hAnsi="Arial" w:eastAsia="Arial"/>
                <w:b/>
                <w:i w:val="0"/>
                <w:color w:val="121826"/>
                <w:sz w:val="17"/>
              </w:rPr>
              <w:t>Cumulative ($M)</w:t>
            </w:r>
          </w:p>
        </w:tc>
        <w:tc>
          <w:tcPr>
            <w:tcW w:type="dxa" w:w="1337"/>
            <w:shd w:val="clear" w:color="auto" w:fill="E4EAF3"/>
          </w:tcPr>
          <w:p>
            <w:pPr>
              <w:jc w:val="right"/>
            </w:pPr>
            <w:r>
              <w:rPr>
                <w:rFonts w:ascii="Arial" w:hAnsi="Arial" w:eastAsia="Arial"/>
                <w:b/>
                <w:i w:val="0"/>
                <w:color w:val="121826"/>
                <w:sz w:val="17"/>
              </w:rPr>
              <w:t>Cumulative × EBITDA</w:t>
            </w:r>
          </w:p>
        </w:tc>
      </w:tr>
      <w:tr>
        <w:tc>
          <w:tcPr>
            <w:tcW w:type="dxa" w:w="2885"/>
          </w:tcPr>
          <w:p>
            <w:r>
              <w:rPr>
                <w:rFonts w:ascii="Arial" w:hAnsi="Arial" w:eastAsia="Arial"/>
                <w:b w:val="0"/>
                <w:i w:val="0"/>
                <w:color w:val="2A3140"/>
                <w:sz w:val="17"/>
              </w:rPr>
              <w:t>Citizens revolving facility</w:t>
            </w:r>
          </w:p>
        </w:tc>
        <w:tc>
          <w:tcPr>
            <w:tcW w:type="dxa" w:w="774"/>
          </w:tcPr>
          <w:p>
            <w:pPr>
              <w:jc w:val="right"/>
            </w:pPr>
            <w:r>
              <w:rPr>
                <w:rFonts w:ascii="Arial" w:hAnsi="Arial" w:eastAsia="Arial"/>
                <w:b w:val="0"/>
                <w:i w:val="0"/>
                <w:color w:val="2A3140"/>
                <w:sz w:val="17"/>
              </w:rPr>
              <w:t>45.0</w:t>
            </w:r>
          </w:p>
        </w:tc>
        <w:tc>
          <w:tcPr>
            <w:tcW w:type="dxa" w:w="2041"/>
          </w:tcPr>
          <w:p>
            <w:r>
              <w:rPr>
                <w:rFonts w:ascii="Arial" w:hAnsi="Arial" w:eastAsia="Arial"/>
                <w:b w:val="0"/>
                <w:i w:val="0"/>
                <w:color w:val="2A3140"/>
                <w:sz w:val="17"/>
              </w:rPr>
              <w:t>SOFR + 2.00%</w:t>
            </w:r>
          </w:p>
        </w:tc>
        <w:tc>
          <w:tcPr>
            <w:tcW w:type="dxa" w:w="1267"/>
          </w:tcPr>
          <w:p>
            <w:r>
              <w:rPr>
                <w:rFonts w:ascii="Arial" w:hAnsi="Arial" w:eastAsia="Arial"/>
                <w:b w:val="0"/>
                <w:i w:val="0"/>
                <w:color w:val="2A3140"/>
                <w:sz w:val="17"/>
              </w:rPr>
              <w:t>Extension sought</w:t>
            </w:r>
          </w:p>
        </w:tc>
        <w:tc>
          <w:tcPr>
            <w:tcW w:type="dxa" w:w="1056"/>
          </w:tcPr>
          <w:p>
            <w:pPr>
              <w:jc w:val="right"/>
            </w:pPr>
            <w:r>
              <w:rPr>
                <w:rFonts w:ascii="Arial" w:hAnsi="Arial" w:eastAsia="Arial"/>
                <w:b w:val="0"/>
                <w:i w:val="0"/>
                <w:color w:val="2A3140"/>
                <w:sz w:val="17"/>
              </w:rPr>
              <w:t>45.0</w:t>
            </w:r>
          </w:p>
        </w:tc>
        <w:tc>
          <w:tcPr>
            <w:tcW w:type="dxa" w:w="1337"/>
          </w:tcPr>
          <w:p/>
        </w:tc>
      </w:tr>
      <w:tr>
        <w:tc>
          <w:tcPr>
            <w:tcW w:type="dxa" w:w="2885"/>
          </w:tcPr>
          <w:p>
            <w:r>
              <w:rPr>
                <w:rFonts w:ascii="Arial" w:hAnsi="Arial" w:eastAsia="Arial"/>
                <w:b w:val="0"/>
                <w:i w:val="0"/>
                <w:color w:val="2A3140"/>
                <w:sz w:val="17"/>
              </w:rPr>
              <w:t>Series 2024 OpCo bonds (first lien)</w:t>
            </w:r>
          </w:p>
        </w:tc>
        <w:tc>
          <w:tcPr>
            <w:tcW w:type="dxa" w:w="774"/>
          </w:tcPr>
          <w:p>
            <w:pPr>
              <w:jc w:val="right"/>
            </w:pPr>
            <w:r>
              <w:rPr>
                <w:rFonts w:ascii="Arial" w:hAnsi="Arial" w:eastAsia="Arial"/>
                <w:b w:val="0"/>
                <w:i w:val="0"/>
                <w:color w:val="2A3140"/>
                <w:sz w:val="17"/>
              </w:rPr>
              <w:t>2,219.3</w:t>
            </w:r>
          </w:p>
        </w:tc>
        <w:tc>
          <w:tcPr>
            <w:tcW w:type="dxa" w:w="2041"/>
          </w:tcPr>
          <w:p>
            <w:r>
              <w:rPr>
                <w:rFonts w:ascii="Arial" w:hAnsi="Arial" w:eastAsia="Arial"/>
                <w:b w:val="0"/>
                <w:i w:val="0"/>
                <w:color w:val="2A3140"/>
                <w:sz w:val="17"/>
              </w:rPr>
              <w:t>5.00%–5.50% fixed, tax-exempt</w:t>
            </w:r>
          </w:p>
        </w:tc>
        <w:tc>
          <w:tcPr>
            <w:tcW w:type="dxa" w:w="1267"/>
          </w:tcPr>
          <w:p>
            <w:r>
              <w:rPr>
                <w:rFonts w:ascii="Arial" w:hAnsi="Arial" w:eastAsia="Arial"/>
                <w:b w:val="0"/>
                <w:i w:val="0"/>
                <w:color w:val="2A3140"/>
                <w:sz w:val="17"/>
              </w:rPr>
              <w:t>2034–2053</w:t>
            </w:r>
          </w:p>
        </w:tc>
        <w:tc>
          <w:tcPr>
            <w:tcW w:type="dxa" w:w="1056"/>
          </w:tcPr>
          <w:p/>
        </w:tc>
        <w:tc>
          <w:tcPr>
            <w:tcW w:type="dxa" w:w="1337"/>
          </w:tcPr>
          <w:p/>
        </w:tc>
      </w:tr>
      <w:tr>
        <w:tc>
          <w:tcPr>
            <w:tcW w:type="dxa" w:w="2885"/>
          </w:tcPr>
          <w:p>
            <w:r>
              <w:rPr>
                <w:rFonts w:ascii="Arial" w:hAnsi="Arial" w:eastAsia="Arial"/>
                <w:b w:val="0"/>
                <w:i w:val="0"/>
                <w:color w:val="2A3140"/>
                <w:sz w:val="17"/>
              </w:rPr>
              <w:t>Pari Passu OpCo Exit Notes (first lien)</w:t>
            </w:r>
          </w:p>
        </w:tc>
        <w:tc>
          <w:tcPr>
            <w:tcW w:type="dxa" w:w="774"/>
          </w:tcPr>
          <w:p>
            <w:pPr>
              <w:jc w:val="right"/>
            </w:pPr>
            <w:r>
              <w:rPr>
                <w:rFonts w:ascii="Arial" w:hAnsi="Arial" w:eastAsia="Arial"/>
                <w:b w:val="0"/>
                <w:i w:val="0"/>
                <w:color w:val="2A3140"/>
                <w:sz w:val="17"/>
              </w:rPr>
              <w:t>140.0</w:t>
            </w:r>
          </w:p>
        </w:tc>
        <w:tc>
          <w:tcPr>
            <w:tcW w:type="dxa" w:w="2041"/>
          </w:tcPr>
          <w:p>
            <w:r>
              <w:rPr>
                <w:rFonts w:ascii="Arial" w:hAnsi="Arial" w:eastAsia="Arial"/>
                <w:b w:val="0"/>
                <w:i w:val="0"/>
                <w:color w:val="2A3140"/>
                <w:sz w:val="17"/>
              </w:rPr>
              <w:t>8.5% PIK / cash</w:t>
            </w:r>
          </w:p>
        </w:tc>
        <w:tc>
          <w:tcPr>
            <w:tcW w:type="dxa" w:w="1267"/>
          </w:tcPr>
          <w:p>
            <w:r>
              <w:rPr>
                <w:rFonts w:ascii="Arial" w:hAnsi="Arial" w:eastAsia="Arial"/>
                <w:b w:val="0"/>
                <w:i w:val="0"/>
                <w:color w:val="2A3140"/>
                <w:sz w:val="17"/>
              </w:rPr>
              <w:t>10 years from exit</w:t>
            </w:r>
          </w:p>
        </w:tc>
        <w:tc>
          <w:tcPr>
            <w:tcW w:type="dxa" w:w="1056"/>
          </w:tcPr>
          <w:p>
            <w:pPr>
              <w:jc w:val="right"/>
            </w:pPr>
            <w:r>
              <w:rPr>
                <w:rFonts w:ascii="Arial" w:hAnsi="Arial" w:eastAsia="Arial"/>
                <w:b w:val="0"/>
                <w:i w:val="0"/>
                <w:color w:val="2A3140"/>
                <w:sz w:val="17"/>
              </w:rPr>
              <w:t>2,404.3</w:t>
            </w:r>
          </w:p>
        </w:tc>
        <w:tc>
          <w:tcPr>
            <w:tcW w:type="dxa" w:w="1337"/>
          </w:tcPr>
          <w:p>
            <w:pPr>
              <w:jc w:val="right"/>
            </w:pPr>
            <w:r>
              <w:rPr>
                <w:rFonts w:ascii="Arial" w:hAnsi="Arial" w:eastAsia="Arial"/>
                <w:b w:val="0"/>
                <w:i w:val="0"/>
                <w:color w:val="2A3140"/>
                <w:sz w:val="17"/>
              </w:rPr>
              <w:t>33.3x</w:t>
            </w:r>
          </w:p>
        </w:tc>
      </w:tr>
      <w:tr>
        <w:tc>
          <w:tcPr>
            <w:tcW w:type="dxa" w:w="2885"/>
          </w:tcPr>
          <w:p>
            <w:r>
              <w:rPr>
                <w:rFonts w:ascii="Arial" w:hAnsi="Arial" w:eastAsia="Arial"/>
                <w:b w:val="0"/>
                <w:i w:val="0"/>
                <w:color w:val="2A3140"/>
                <w:sz w:val="17"/>
              </w:rPr>
              <w:t>Deferred Interest on OpCo bonds (maximum)</w:t>
            </w:r>
          </w:p>
        </w:tc>
        <w:tc>
          <w:tcPr>
            <w:tcW w:type="dxa" w:w="774"/>
          </w:tcPr>
          <w:p>
            <w:pPr>
              <w:jc w:val="right"/>
            </w:pPr>
            <w:r>
              <w:rPr>
                <w:rFonts w:ascii="Arial" w:hAnsi="Arial" w:eastAsia="Arial"/>
                <w:b w:val="0"/>
                <w:i w:val="0"/>
                <w:color w:val="2A3140"/>
                <w:sz w:val="17"/>
              </w:rPr>
              <w:t>173.9</w:t>
            </w:r>
          </w:p>
        </w:tc>
        <w:tc>
          <w:tcPr>
            <w:tcW w:type="dxa" w:w="2041"/>
          </w:tcPr>
          <w:p>
            <w:r>
              <w:rPr>
                <w:rFonts w:ascii="Arial" w:hAnsi="Arial" w:eastAsia="Arial"/>
                <w:b w:val="0"/>
                <w:i w:val="0"/>
                <w:color w:val="2A3140"/>
                <w:sz w:val="17"/>
              </w:rPr>
              <w:t>none stated</w:t>
            </w:r>
          </w:p>
        </w:tc>
        <w:tc>
          <w:tcPr>
            <w:tcW w:type="dxa" w:w="1267"/>
          </w:tcPr>
          <w:p>
            <w:r>
              <w:rPr>
                <w:rFonts w:ascii="Arial" w:hAnsi="Arial" w:eastAsia="Arial"/>
                <w:b w:val="0"/>
                <w:i w:val="0"/>
                <w:color w:val="2A3140"/>
                <w:sz w:val="17"/>
              </w:rPr>
              <w:t>1 Jan 2031</w:t>
            </w:r>
          </w:p>
        </w:tc>
        <w:tc>
          <w:tcPr>
            <w:tcW w:type="dxa" w:w="1056"/>
          </w:tcPr>
          <w:p>
            <w:pPr>
              <w:jc w:val="right"/>
            </w:pPr>
            <w:r>
              <w:rPr>
                <w:rFonts w:ascii="Arial" w:hAnsi="Arial" w:eastAsia="Arial"/>
                <w:b w:val="0"/>
                <w:i w:val="0"/>
                <w:color w:val="2A3140"/>
                <w:sz w:val="17"/>
              </w:rPr>
              <w:t>2,578.2</w:t>
            </w:r>
          </w:p>
        </w:tc>
        <w:tc>
          <w:tcPr>
            <w:tcW w:type="dxa" w:w="1337"/>
          </w:tcPr>
          <w:p>
            <w:pPr>
              <w:jc w:val="right"/>
            </w:pPr>
            <w:r>
              <w:rPr>
                <w:rFonts w:ascii="Arial" w:hAnsi="Arial" w:eastAsia="Arial"/>
                <w:b w:val="0"/>
                <w:i w:val="0"/>
                <w:color w:val="2A3140"/>
                <w:sz w:val="17"/>
              </w:rPr>
              <w:t>35.7x</w:t>
            </w:r>
          </w:p>
        </w:tc>
      </w:tr>
      <w:tr>
        <w:tc>
          <w:tcPr>
            <w:tcW w:type="dxa" w:w="2885"/>
          </w:tcPr>
          <w:p>
            <w:r>
              <w:rPr>
                <w:rFonts w:ascii="Arial" w:hAnsi="Arial" w:eastAsia="Arial"/>
                <w:b w:val="0"/>
                <w:i w:val="0"/>
                <w:color w:val="2A3140"/>
                <w:sz w:val="17"/>
              </w:rPr>
              <w:t>Junior Exit Notes (second lien)</w:t>
            </w:r>
          </w:p>
        </w:tc>
        <w:tc>
          <w:tcPr>
            <w:tcW w:type="dxa" w:w="774"/>
          </w:tcPr>
          <w:p>
            <w:pPr>
              <w:jc w:val="right"/>
            </w:pPr>
            <w:r>
              <w:rPr>
                <w:rFonts w:ascii="Arial" w:hAnsi="Arial" w:eastAsia="Arial"/>
                <w:b w:val="0"/>
                <w:i w:val="0"/>
                <w:color w:val="2A3140"/>
                <w:sz w:val="17"/>
              </w:rPr>
              <w:t>350.0</w:t>
            </w:r>
          </w:p>
        </w:tc>
        <w:tc>
          <w:tcPr>
            <w:tcW w:type="dxa" w:w="2041"/>
          </w:tcPr>
          <w:p>
            <w:r>
              <w:rPr>
                <w:rFonts w:ascii="Arial" w:hAnsi="Arial" w:eastAsia="Arial"/>
                <w:b w:val="0"/>
                <w:i w:val="0"/>
                <w:color w:val="2A3140"/>
                <w:sz w:val="17"/>
              </w:rPr>
              <w:t>10.0% PIK / cash</w:t>
            </w:r>
          </w:p>
        </w:tc>
        <w:tc>
          <w:tcPr>
            <w:tcW w:type="dxa" w:w="1267"/>
          </w:tcPr>
          <w:p>
            <w:r>
              <w:rPr>
                <w:rFonts w:ascii="Arial" w:hAnsi="Arial" w:eastAsia="Arial"/>
                <w:b w:val="0"/>
                <w:i w:val="0"/>
                <w:color w:val="2A3140"/>
                <w:sz w:val="17"/>
              </w:rPr>
              <w:t>12 years from exit</w:t>
            </w:r>
          </w:p>
        </w:tc>
        <w:tc>
          <w:tcPr>
            <w:tcW w:type="dxa" w:w="1056"/>
          </w:tcPr>
          <w:p>
            <w:pPr>
              <w:jc w:val="right"/>
            </w:pPr>
            <w:r>
              <w:rPr>
                <w:rFonts w:ascii="Arial" w:hAnsi="Arial" w:eastAsia="Arial"/>
                <w:b w:val="0"/>
                <w:i w:val="0"/>
                <w:color w:val="2A3140"/>
                <w:sz w:val="17"/>
              </w:rPr>
              <w:t>2,928.2</w:t>
            </w:r>
          </w:p>
        </w:tc>
        <w:tc>
          <w:tcPr>
            <w:tcW w:type="dxa" w:w="1337"/>
          </w:tcPr>
          <w:p>
            <w:pPr>
              <w:jc w:val="right"/>
            </w:pPr>
            <w:r>
              <w:rPr>
                <w:rFonts w:ascii="Arial" w:hAnsi="Arial" w:eastAsia="Arial"/>
                <w:b w:val="0"/>
                <w:i w:val="0"/>
                <w:color w:val="2A3140"/>
                <w:sz w:val="17"/>
              </w:rPr>
              <w:t>40.5x</w:t>
            </w:r>
          </w:p>
        </w:tc>
      </w:tr>
    </w:tbl>
    <w:p>
      <w:pPr>
        <w:spacing w:after="40"/>
      </w:pPr>
    </w:p>
    <w:p>
      <w:r>
        <w:rPr>
          <w:rFonts w:ascii="Arial" w:hAnsi="Arial" w:eastAsia="Arial"/>
          <w:b w:val="0"/>
          <w:i/>
          <w:color w:val="5B6475"/>
          <w:sz w:val="16"/>
        </w:rPr>
        <w:t>Source: Exhibit 5. Annual coupon interest on the Series 2024 bonds is $115.9M. Outside OpCo, a further $3,314.5M of HoldCo, commuter and Brightline East debt depends on the same railroad (Exhibit 5, section C).</w:t>
      </w:r>
    </w:p>
    <w:p>
      <w:pPr>
        <w:spacing w:before="200"/>
      </w:pPr>
      <w:r>
        <w:rPr>
          <w:rFonts w:ascii="Georgia" w:hAnsi="Georgia" w:eastAsia="Georgia"/>
          <w:b/>
          <w:i w:val="0"/>
          <w:color w:val="1E3A5F"/>
          <w:sz w:val="26"/>
        </w:rPr>
        <w:t>6. Asset-class data</w:t>
      </w:r>
    </w:p>
    <w:p>
      <w:r>
        <w:rPr>
          <w:rFonts w:ascii="Arial" w:hAnsi="Arial" w:eastAsia="Arial"/>
          <w:b w:val="0"/>
          <w:i w:val="0"/>
          <w:color w:val="2A3140"/>
          <w:sz w:val="21"/>
        </w:rPr>
        <w:t>The data book holds what a project lender needs, with gaps stated:</w:t>
      </w:r>
    </w:p>
    <w:p>
      <w:pPr>
        <w:pStyle w:val="ListBullet"/>
      </w:pPr>
      <w:r>
        <w:rPr>
          <w:rFonts w:ascii="Arial" w:hAnsi="Arial" w:eastAsia="Arial"/>
          <w:b/>
          <w:i w:val="0"/>
          <w:color w:val="2A3140"/>
          <w:sz w:val="21"/>
        </w:rPr>
        <w:t>Concession base case (Exhibit 4).</w:t>
      </w:r>
      <w:r>
        <w:rPr>
          <w:rFonts w:ascii="Arial" w:hAnsi="Arial" w:eastAsia="Arial"/>
          <w:b w:val="0"/>
          <w:i w:val="0"/>
          <w:color w:val="2A3140"/>
          <w:sz w:val="21"/>
        </w:rPr>
        <w:t xml:space="preserve"> Full annual 2024E–2054E projection from the official statement: passengers, fares, revenue, operating costs, EBITDA, maintenance capex, reserve movements, CFADS, OpCo debt service and published DSCR, with the two other ramp-up scenarios for 2024–2026. LLCR is not published.</w:t>
      </w:r>
    </w:p>
    <w:p>
      <w:pPr>
        <w:pStyle w:val="ListBullet"/>
      </w:pPr>
      <w:r>
        <w:rPr>
          <w:rFonts w:ascii="Arial" w:hAnsi="Arial" w:eastAsia="Arial"/>
          <w:b/>
          <w:i w:val="0"/>
          <w:color w:val="2A3140"/>
          <w:sz w:val="21"/>
        </w:rPr>
        <w:t>Demand history (Exhibits 1–3, 8, 10).</w:t>
      </w:r>
      <w:r>
        <w:rPr>
          <w:rFonts w:ascii="Arial" w:hAnsi="Arial" w:eastAsia="Arial"/>
          <w:b w:val="0"/>
          <w:i w:val="0"/>
          <w:color w:val="2A3140"/>
          <w:sz w:val="21"/>
        </w:rPr>
        <w:t xml:space="preserve"> Annual riders by short and long distance, ten derived quarters, January–July monthly series and the data points behind them.</w:t>
      </w:r>
    </w:p>
    <w:p>
      <w:pPr>
        <w:pStyle w:val="ListBullet"/>
      </w:pPr>
      <w:r>
        <w:rPr>
          <w:rFonts w:ascii="Arial" w:hAnsi="Arial" w:eastAsia="Arial"/>
          <w:b/>
          <w:i w:val="0"/>
          <w:color w:val="2A3140"/>
          <w:sz w:val="21"/>
        </w:rPr>
        <w:t>Reserves and distribution tests (Exhibit 9).</w:t>
      </w:r>
      <w:r>
        <w:rPr>
          <w:rFonts w:ascii="Arial" w:hAnsi="Arial" w:eastAsia="Arial"/>
          <w:b w:val="0"/>
          <w:i w:val="0"/>
          <w:color w:val="2A3140"/>
          <w:sz w:val="21"/>
        </w:rPr>
        <w:t xml:space="preserve"> At the 2024 closing the official statement required a $175M ramp-up reserve, a $75M project reserve, a $60M rolling-stock reserve and a senior debt service reserve of 12 months of principal and interest. Distributions need a Total Senior DSCR of at least 1.30x and a Total DSCR of at least 1.10x, historic and projected; cash that fails the tests goes to an equity lock-up account. At 31 December 2025 OpCo held $1.4M of unrestricted cash and $136.9M of restricted cash, of which $117.4M was funded interest [E7].</w:t>
      </w:r>
    </w:p>
    <w:p>
      <w:pPr>
        <w:pStyle w:val="ListBullet"/>
      </w:pPr>
      <w:r>
        <w:rPr>
          <w:rFonts w:ascii="Arial" w:hAnsi="Arial" w:eastAsia="Arial"/>
          <w:b/>
          <w:i w:val="0"/>
          <w:color w:val="2A3140"/>
          <w:sz w:val="21"/>
        </w:rPr>
        <w:t>Construction.</w:t>
      </w:r>
      <w:r>
        <w:rPr>
          <w:rFonts w:ascii="Arial" w:hAnsi="Arial" w:eastAsia="Arial"/>
          <w:b w:val="0"/>
          <w:i w:val="0"/>
          <w:color w:val="2A3140"/>
          <w:sz w:val="21"/>
        </w:rPr>
        <w:t xml:space="preserve"> Not applicable: the line has operated end to end since September 2023. Ongoing capital work (grade crossings, St. Lucie River bridge, Cocoa station) is partly funded by federal grants [E3,E10].</w:t>
      </w:r>
    </w:p>
    <w:p>
      <w:pPr>
        <w:pStyle w:val="ListBullet"/>
      </w:pPr>
      <w:r>
        <w:rPr>
          <w:rFonts w:ascii="Arial" w:hAnsi="Arial" w:eastAsia="Arial"/>
          <w:b/>
          <w:i w:val="0"/>
          <w:color w:val="2A3140"/>
          <w:sz w:val="21"/>
        </w:rPr>
        <w:t>Ratings.</w:t>
      </w:r>
      <w:r>
        <w:rPr>
          <w:rFonts w:ascii="Arial" w:hAnsi="Arial" w:eastAsia="Arial"/>
          <w:b w:val="0"/>
          <w:i w:val="0"/>
          <w:color w:val="2A3140"/>
          <w:sz w:val="21"/>
        </w:rPr>
        <w:t xml:space="preserve"> At issue in April 2024 the bonds were rated BBB- (S&amp;P and Fitch, underlying) and BBB (Kroll, underlying); the insured bonds AA (S&amp;P) and AA+ (Kroll) [E1]. Fitch rates the OpCo bonds C from 1 October 2026 [E9].</w:t>
      </w:r>
    </w:p>
    <w:p>
      <w:pPr>
        <w:pStyle w:val="ListBullet"/>
      </w:pPr>
      <w:r>
        <w:rPr>
          <w:rFonts w:ascii="Arial" w:hAnsi="Arial" w:eastAsia="Arial"/>
          <w:b/>
          <w:i w:val="0"/>
          <w:color w:val="2A3140"/>
          <w:sz w:val="21"/>
        </w:rPr>
        <w:t>Comps (Exhibit 7).</w:t>
      </w:r>
      <w:r>
        <w:rPr>
          <w:rFonts w:ascii="Arial" w:hAnsi="Arial" w:eastAsia="Arial"/>
          <w:b w:val="0"/>
          <w:i w:val="0"/>
          <w:color w:val="2A3140"/>
          <w:sz w:val="21"/>
        </w:rPr>
        <w:t xml:space="preserve"> OpCo's own traded bonds, the other Brightline debt, the deal terms inside this restructuring, base rates and the private credit premium. No verified market pricing band exists for this credit.</w:t>
      </w:r>
    </w:p>
    <w:p>
      <w:pPr>
        <w:spacing w:before="200"/>
      </w:pPr>
      <w:r>
        <w:rPr>
          <w:rFonts w:ascii="Georgia" w:hAnsi="Georgia" w:eastAsia="Georgia"/>
          <w:b/>
          <w:i w:val="0"/>
          <w:color w:val="1E3A5F"/>
          <w:sz w:val="26"/>
        </w:rPr>
        <w:t>7. Term sheet: Pari Passu OpCo Exit Notes (as written in the RSA; allocation HYPOTHETICAL)</w:t>
      </w:r>
    </w:p>
    <w:tbl>
      <w:tblPr>
        <w:tblW w:type="dxa" w:w="9360"/>
        <w:jc w:val="center"/>
        <w:tblLayout w:type="fixed"/>
        <w:tblLook w:firstColumn="1" w:firstRow="1" w:lastColumn="0" w:lastRow="0" w:noHBand="0" w:noVBand="1" w:val="04A0"/>
        <w:tblBorders>
          <w:top w:val="single" w:sz="4" w:color="DDDCD4"/>
          <w:bottom w:val="single" w:sz="4" w:color="DDDCD4"/>
          <w:insideH w:val="single" w:sz="4" w:color="DDDCD4"/>
          <w:left w:val="nil"/>
          <w:right w:val="nil"/>
          <w:insideV w:val="nil"/>
        </w:tblBorders>
      </w:tblPr>
      <w:tblGrid>
        <w:gridCol w:w="3960"/>
        <w:gridCol w:w="5400"/>
      </w:tblGrid>
      <w:tr>
        <w:tc>
          <w:tcPr>
            <w:tcW w:type="dxa" w:w="3960"/>
            <w:shd w:val="clear" w:color="auto" w:fill="E4EAF3"/>
          </w:tcPr>
          <w:p>
            <w:r>
              <w:rPr>
                <w:rFonts w:ascii="Arial" w:hAnsi="Arial" w:eastAsia="Arial"/>
                <w:b/>
                <w:i w:val="0"/>
                <w:color w:val="121826"/>
                <w:sz w:val="17"/>
              </w:rPr>
              <w:t>Term</w:t>
            </w:r>
          </w:p>
        </w:tc>
        <w:tc>
          <w:tcPr>
            <w:tcW w:type="dxa" w:w="5400"/>
            <w:shd w:val="clear" w:color="auto" w:fill="E4EAF3"/>
          </w:tcPr>
          <w:p>
            <w:r>
              <w:rPr>
                <w:rFonts w:ascii="Arial" w:hAnsi="Arial" w:eastAsia="Arial"/>
                <w:b/>
                <w:i w:val="0"/>
                <w:color w:val="121826"/>
                <w:sz w:val="17"/>
              </w:rPr>
              <w:t>RSA term sheet, 29 September 2026</w:t>
            </w:r>
          </w:p>
        </w:tc>
      </w:tr>
      <w:tr>
        <w:tc>
          <w:tcPr>
            <w:tcW w:type="dxa" w:w="3960"/>
          </w:tcPr>
          <w:p>
            <w:r>
              <w:rPr>
                <w:rFonts w:ascii="Arial" w:hAnsi="Arial" w:eastAsia="Arial"/>
                <w:b w:val="0"/>
                <w:i w:val="0"/>
                <w:color w:val="2A3140"/>
                <w:sz w:val="17"/>
              </w:rPr>
              <w:t>Issuer and guarantors</w:t>
            </w:r>
          </w:p>
        </w:tc>
        <w:tc>
          <w:tcPr>
            <w:tcW w:type="dxa" w:w="5400"/>
          </w:tcPr>
          <w:p>
            <w:r>
              <w:rPr>
                <w:rFonts w:ascii="Arial" w:hAnsi="Arial" w:eastAsia="Arial"/>
                <w:b w:val="0"/>
                <w:i w:val="0"/>
                <w:color w:val="2A3140"/>
                <w:sz w:val="17"/>
              </w:rPr>
              <w:t>OpCo (or a conduit issuer). Guarantees not specified; New HoldCo pledges 100% of OpCo's equity</w:t>
            </w:r>
          </w:p>
        </w:tc>
      </w:tr>
      <w:tr>
        <w:tc>
          <w:tcPr>
            <w:tcW w:type="dxa" w:w="3960"/>
          </w:tcPr>
          <w:p>
            <w:r>
              <w:rPr>
                <w:rFonts w:ascii="Arial" w:hAnsi="Arial" w:eastAsia="Arial"/>
                <w:b w:val="0"/>
                <w:i w:val="0"/>
                <w:color w:val="2A3140"/>
                <w:sz w:val="17"/>
              </w:rPr>
              <w:t>Facility</w:t>
            </w:r>
          </w:p>
        </w:tc>
        <w:tc>
          <w:tcPr>
            <w:tcW w:type="dxa" w:w="5400"/>
          </w:tcPr>
          <w:p>
            <w:r>
              <w:rPr>
                <w:rFonts w:ascii="Arial" w:hAnsi="Arial" w:eastAsia="Arial"/>
                <w:b w:val="0"/>
                <w:i w:val="0"/>
                <w:color w:val="2A3140"/>
                <w:sz w:val="17"/>
              </w:rPr>
              <w:t>$140.0M notes, plus incremental notes to fund up to one third of any deferral shortfall (below). Assured insures or buys $70.0M; the MFG lenders and any additional consenting OpCo bondholders backstop $70.0M, severally</w:t>
            </w:r>
          </w:p>
        </w:tc>
      </w:tr>
      <w:tr>
        <w:tc>
          <w:tcPr>
            <w:tcW w:type="dxa" w:w="3960"/>
          </w:tcPr>
          <w:p>
            <w:r>
              <w:rPr>
                <w:rFonts w:ascii="Arial" w:hAnsi="Arial" w:eastAsia="Arial"/>
                <w:b w:val="0"/>
                <w:i w:val="0"/>
                <w:color w:val="2A3140"/>
                <w:sz w:val="17"/>
              </w:rPr>
              <w:t>Ranking and security</w:t>
            </w:r>
          </w:p>
        </w:tc>
        <w:tc>
          <w:tcPr>
            <w:tcW w:type="dxa" w:w="5400"/>
          </w:tcPr>
          <w:p>
            <w:r>
              <w:rPr>
                <w:rFonts w:ascii="Arial" w:hAnsi="Arial" w:eastAsia="Arial"/>
                <w:b w:val="0"/>
                <w:i w:val="0"/>
                <w:color w:val="2A3140"/>
                <w:sz w:val="17"/>
              </w:rPr>
              <w:t>Pari passu first lien on all collateral securing the OpCo bonds. Senior OpCo Debt = OpCo bonds (including Deferred Interest), the Citizens facility and these notes. Debt service reserve accounts may secure only their own series. Junior Exit Notes rank second under an intercreditor agreement with a standstill</w:t>
            </w:r>
          </w:p>
        </w:tc>
      </w:tr>
      <w:tr>
        <w:tc>
          <w:tcPr>
            <w:tcW w:type="dxa" w:w="3960"/>
          </w:tcPr>
          <w:p>
            <w:r>
              <w:rPr>
                <w:rFonts w:ascii="Arial" w:hAnsi="Arial" w:eastAsia="Arial"/>
                <w:b w:val="0"/>
                <w:i w:val="0"/>
                <w:color w:val="2A3140"/>
                <w:sz w:val="17"/>
              </w:rPr>
              <w:t>Tenor and maturity</w:t>
            </w:r>
          </w:p>
        </w:tc>
        <w:tc>
          <w:tcPr>
            <w:tcW w:type="dxa" w:w="5400"/>
          </w:tcPr>
          <w:p>
            <w:r>
              <w:rPr>
                <w:rFonts w:ascii="Arial" w:hAnsi="Arial" w:eastAsia="Arial"/>
                <w:b w:val="0"/>
                <w:i w:val="0"/>
                <w:color w:val="2A3140"/>
                <w:sz w:val="17"/>
              </w:rPr>
              <w:t>10 years from closing. No springing maturity: the OpCo bonds mature 2034–2053, but Deferred Interest falls due on 1 January 2031 and the Citizens facility needs an extension</w:t>
            </w:r>
          </w:p>
        </w:tc>
      </w:tr>
      <w:tr>
        <w:tc>
          <w:tcPr>
            <w:tcW w:type="dxa" w:w="3960"/>
          </w:tcPr>
          <w:p>
            <w:r>
              <w:rPr>
                <w:rFonts w:ascii="Arial" w:hAnsi="Arial" w:eastAsia="Arial"/>
                <w:b w:val="0"/>
                <w:i w:val="0"/>
                <w:color w:val="2A3140"/>
                <w:sz w:val="17"/>
              </w:rPr>
              <w:t>Pricing</w:t>
            </w:r>
          </w:p>
        </w:tc>
        <w:tc>
          <w:tcPr>
            <w:tcW w:type="dxa" w:w="5400"/>
          </w:tcPr>
          <w:p>
            <w:r>
              <w:rPr>
                <w:rFonts w:ascii="Arial" w:hAnsi="Arial" w:eastAsia="Arial"/>
                <w:b w:val="0"/>
                <w:i w:val="0"/>
                <w:color w:val="2A3140"/>
                <w:sz w:val="17"/>
              </w:rPr>
              <w:t>8.5% fixed, PIK; cash pay once FCCR exceeds 1.30x for at least 12 trailing months. No floor (fixed rate). No OID, upfront or ticking fee stated. Insured notes: rate plus Assured's 2.0% annual premium may not exceed 8.5%. Tax status of the notes not stated</w:t>
            </w:r>
          </w:p>
        </w:tc>
      </w:tr>
      <w:tr>
        <w:tc>
          <w:tcPr>
            <w:tcW w:type="dxa" w:w="3960"/>
          </w:tcPr>
          <w:p>
            <w:r>
              <w:rPr>
                <w:rFonts w:ascii="Arial" w:hAnsi="Arial" w:eastAsia="Arial"/>
                <w:b w:val="0"/>
                <w:i w:val="0"/>
                <w:color w:val="2A3140"/>
                <w:sz w:val="17"/>
              </w:rPr>
              <w:t>Call protection</w:t>
            </w:r>
          </w:p>
        </w:tc>
        <w:tc>
          <w:tcPr>
            <w:tcW w:type="dxa" w:w="5400"/>
          </w:tcPr>
          <w:p>
            <w:r>
              <w:rPr>
                <w:rFonts w:ascii="Arial" w:hAnsi="Arial" w:eastAsia="Arial"/>
                <w:b w:val="0"/>
                <w:i w:val="0"/>
                <w:color w:val="2A3140"/>
                <w:sz w:val="17"/>
              </w:rPr>
              <w:t>Not stated, except that sweep prepayments carry no make-whole; Assured's premium carries a make-whole</w:t>
            </w:r>
          </w:p>
        </w:tc>
      </w:tr>
      <w:tr>
        <w:tc>
          <w:tcPr>
            <w:tcW w:type="dxa" w:w="3960"/>
          </w:tcPr>
          <w:p>
            <w:r>
              <w:rPr>
                <w:rFonts w:ascii="Arial" w:hAnsi="Arial" w:eastAsia="Arial"/>
                <w:b w:val="0"/>
                <w:i w:val="0"/>
                <w:color w:val="2A3140"/>
                <w:sz w:val="17"/>
              </w:rPr>
              <w:t>Amortisation</w:t>
            </w:r>
          </w:p>
        </w:tc>
        <w:tc>
          <w:tcPr>
            <w:tcW w:type="dxa" w:w="5400"/>
          </w:tcPr>
          <w:p>
            <w:r>
              <w:rPr>
                <w:rFonts w:ascii="Arial" w:hAnsi="Arial" w:eastAsia="Arial"/>
                <w:b w:val="0"/>
                <w:i w:val="0"/>
                <w:color w:val="2A3140"/>
                <w:sz w:val="17"/>
              </w:rPr>
              <w:t>None stated</w:t>
            </w:r>
          </w:p>
        </w:tc>
      </w:tr>
      <w:tr>
        <w:tc>
          <w:tcPr>
            <w:tcW w:type="dxa" w:w="3960"/>
          </w:tcPr>
          <w:p>
            <w:r>
              <w:rPr>
                <w:rFonts w:ascii="Arial" w:hAnsi="Arial" w:eastAsia="Arial"/>
                <w:b w:val="0"/>
                <w:i w:val="0"/>
                <w:color w:val="2A3140"/>
                <w:sz w:val="17"/>
              </w:rPr>
              <w:t>Financial covenants</w:t>
            </w:r>
          </w:p>
        </w:tc>
        <w:tc>
          <w:tcPr>
            <w:tcW w:type="dxa" w:w="5400"/>
          </w:tcPr>
          <w:p>
            <w:r>
              <w:rPr>
                <w:rFonts w:ascii="Arial" w:hAnsi="Arial" w:eastAsia="Arial"/>
                <w:b w:val="0"/>
                <w:i w:val="0"/>
                <w:color w:val="2A3140"/>
                <w:sz w:val="17"/>
              </w:rPr>
              <w:t>None stated. FCCR is a cash-pay test only: fixed charges include interest on these notes and exclude the Junior Exit Notes; the full definition will be in the definitive documents</w:t>
            </w:r>
          </w:p>
        </w:tc>
      </w:tr>
      <w:tr>
        <w:tc>
          <w:tcPr>
            <w:tcW w:type="dxa" w:w="3960"/>
          </w:tcPr>
          <w:p>
            <w:r>
              <w:rPr>
                <w:rFonts w:ascii="Arial" w:hAnsi="Arial" w:eastAsia="Arial"/>
                <w:b w:val="0"/>
                <w:i w:val="0"/>
                <w:color w:val="2A3140"/>
                <w:sz w:val="17"/>
              </w:rPr>
              <w:t>Key negative covenants</w:t>
            </w:r>
          </w:p>
        </w:tc>
        <w:tc>
          <w:tcPr>
            <w:tcW w:type="dxa" w:w="5400"/>
          </w:tcPr>
          <w:p>
            <w:r>
              <w:rPr>
                <w:rFonts w:ascii="Arial" w:hAnsi="Arial" w:eastAsia="Arial"/>
                <w:b w:val="0"/>
                <w:i w:val="0"/>
                <w:color w:val="2A3140"/>
                <w:sz w:val="17"/>
              </w:rPr>
              <w:t>No new first-lien debt beyond the OpCo bonds, the Citizens facility (or its refinancing), these notes and incremental notes for a deferral shortfall, without consent of the Required MFG Parties and Assured. More junior debt allowed with majority junior consent. Existing bond covenants limit additional debt and distributions</w:t>
            </w:r>
          </w:p>
        </w:tc>
      </w:tr>
      <w:tr>
        <w:tc>
          <w:tcPr>
            <w:tcW w:type="dxa" w:w="3960"/>
          </w:tcPr>
          <w:p>
            <w:r>
              <w:rPr>
                <w:rFonts w:ascii="Arial" w:hAnsi="Arial" w:eastAsia="Arial"/>
                <w:b w:val="0"/>
                <w:i w:val="0"/>
                <w:color w:val="2A3140"/>
                <w:sz w:val="17"/>
              </w:rPr>
              <w:t>Mandatory prepayments</w:t>
            </w:r>
          </w:p>
        </w:tc>
        <w:tc>
          <w:tcPr>
            <w:tcW w:type="dxa" w:w="5400"/>
          </w:tcPr>
          <w:p>
            <w:r>
              <w:rPr>
                <w:rFonts w:ascii="Arial" w:hAnsi="Arial" w:eastAsia="Arial"/>
                <w:b w:val="0"/>
                <w:i w:val="0"/>
                <w:color w:val="2A3140"/>
                <w:sz w:val="17"/>
              </w:rPr>
              <w:t>Excess cash flow sweep of liquidity above $125M for 13 continuous weeks, tested weekly, applied to these notes if the bond documents allow, otherwise to all Senior OpCo Debt until an equivalent amount is repaid. The sweep does not start until all Deferred Interest is paid in cash</w:t>
            </w:r>
          </w:p>
        </w:tc>
      </w:tr>
      <w:tr>
        <w:tc>
          <w:tcPr>
            <w:tcW w:type="dxa" w:w="3960"/>
          </w:tcPr>
          <w:p>
            <w:r>
              <w:rPr>
                <w:rFonts w:ascii="Arial" w:hAnsi="Arial" w:eastAsia="Arial"/>
                <w:b w:val="0"/>
                <w:i w:val="0"/>
                <w:color w:val="2A3140"/>
                <w:sz w:val="17"/>
              </w:rPr>
              <w:t>Reporting</w:t>
            </w:r>
          </w:p>
        </w:tc>
        <w:tc>
          <w:tcPr>
            <w:tcW w:type="dxa" w:w="5400"/>
          </w:tcPr>
          <w:p>
            <w:r>
              <w:rPr>
                <w:rFonts w:ascii="Arial" w:hAnsi="Arial" w:eastAsia="Arial"/>
                <w:b w:val="0"/>
                <w:i w:val="0"/>
                <w:color w:val="2A3140"/>
                <w:sz w:val="17"/>
              </w:rPr>
              <w:t>Not stated for the exit notes. OpCo publishes monthly ridership and revenue reports and files on EMMA; the in-court facility requires 13-week cash flow forecasts and variance reports</w:t>
            </w:r>
          </w:p>
        </w:tc>
      </w:tr>
      <w:tr>
        <w:tc>
          <w:tcPr>
            <w:tcW w:type="dxa" w:w="3960"/>
          </w:tcPr>
          <w:p>
            <w:r>
              <w:rPr>
                <w:rFonts w:ascii="Arial" w:hAnsi="Arial" w:eastAsia="Arial"/>
                <w:b w:val="0"/>
                <w:i w:val="0"/>
                <w:color w:val="2A3140"/>
                <w:sz w:val="17"/>
              </w:rPr>
              <w:t>Debt service reserve, lock-up, distributions</w:t>
            </w:r>
          </w:p>
        </w:tc>
        <w:tc>
          <w:tcPr>
            <w:tcW w:type="dxa" w:w="5400"/>
          </w:tcPr>
          <w:p>
            <w:r>
              <w:rPr>
                <w:rFonts w:ascii="Arial" w:hAnsi="Arial" w:eastAsia="Arial"/>
                <w:b w:val="0"/>
                <w:i w:val="0"/>
                <w:color w:val="2A3140"/>
                <w:sz w:val="17"/>
              </w:rPr>
              <w:t>Existing senior debt service reserve of 12 months secures the OpCo bonds only; none stated for these notes. Distribution tests: Total Senior DSCR 1.30x and Total DSCR 1.10x, with an equity lock-up account (2024 documents)</w:t>
            </w:r>
          </w:p>
        </w:tc>
      </w:tr>
      <w:tr>
        <w:tc>
          <w:tcPr>
            <w:tcW w:type="dxa" w:w="3960"/>
          </w:tcPr>
          <w:p>
            <w:r>
              <w:rPr>
                <w:rFonts w:ascii="Arial" w:hAnsi="Arial" w:eastAsia="Arial"/>
                <w:b w:val="0"/>
                <w:i w:val="0"/>
                <w:color w:val="2A3140"/>
                <w:sz w:val="17"/>
              </w:rPr>
              <w:t>Deferral shortfall</w:t>
            </w:r>
          </w:p>
        </w:tc>
        <w:tc>
          <w:tcPr>
            <w:tcW w:type="dxa" w:w="5400"/>
          </w:tcPr>
          <w:p>
            <w:r>
              <w:rPr>
                <w:rFonts w:ascii="Arial" w:hAnsi="Arial" w:eastAsia="Arial"/>
                <w:b w:val="0"/>
                <w:i w:val="0"/>
                <w:color w:val="2A3140"/>
                <w:sz w:val="17"/>
              </w:rPr>
              <w:t>If insured holders do not defer and OpCo cannot pay their coupons from cash through 1 January 2028, up to 50% of the shortfall is financed: one third with incremental Pari Passu notes (Assured) and two thirds with incremental Junior notes</w:t>
            </w:r>
          </w:p>
        </w:tc>
      </w:tr>
      <w:tr>
        <w:tc>
          <w:tcPr>
            <w:tcW w:type="dxa" w:w="3960"/>
          </w:tcPr>
          <w:p>
            <w:r>
              <w:rPr>
                <w:rFonts w:ascii="Arial" w:hAnsi="Arial" w:eastAsia="Arial"/>
                <w:b w:val="0"/>
                <w:i w:val="0"/>
                <w:color w:val="2A3140"/>
                <w:sz w:val="17"/>
              </w:rPr>
              <w:t>Voting and control</w:t>
            </w:r>
          </w:p>
        </w:tc>
        <w:tc>
          <w:tcPr>
            <w:tcW w:type="dxa" w:w="5400"/>
          </w:tcPr>
          <w:p>
            <w:r>
              <w:rPr>
                <w:rFonts w:ascii="Arial" w:hAnsi="Arial" w:eastAsia="Arial"/>
                <w:b w:val="0"/>
                <w:i w:val="0"/>
                <w:color w:val="2A3140"/>
                <w:sz w:val="17"/>
              </w:rPr>
              <w:t>Deferred and PIK interest do not count for voting. In the in-court facility Assured directs 50.1% of the vote; Assured and the Required MFG Parties consent to most amendments</w:t>
            </w:r>
          </w:p>
        </w:tc>
      </w:tr>
      <w:tr>
        <w:tc>
          <w:tcPr>
            <w:tcW w:type="dxa" w:w="3960"/>
          </w:tcPr>
          <w:p>
            <w:r>
              <w:rPr>
                <w:rFonts w:ascii="Arial" w:hAnsi="Arial" w:eastAsia="Arial"/>
                <w:b w:val="0"/>
                <w:i w:val="0"/>
                <w:color w:val="2A3140"/>
                <w:sz w:val="17"/>
              </w:rPr>
              <w:t>Conditions</w:t>
            </w:r>
          </w:p>
        </w:tc>
        <w:tc>
          <w:tcPr>
            <w:tcW w:type="dxa" w:w="5400"/>
          </w:tcPr>
          <w:p>
            <w:r>
              <w:rPr>
                <w:rFonts w:ascii="Arial" w:hAnsi="Arial" w:eastAsia="Arial"/>
                <w:b w:val="0"/>
                <w:i w:val="0"/>
                <w:color w:val="2A3140"/>
                <w:sz w:val="17"/>
              </w:rPr>
              <w:t>Plan confirmation and effectiveness for the OpCo parent (BLTF Holdings); Supporting Holders agree the Deferred Interest Treatment before 1 January 2027</w:t>
            </w:r>
          </w:p>
        </w:tc>
      </w:tr>
    </w:tbl>
    <w:p>
      <w:pPr>
        <w:spacing w:after="40"/>
      </w:pPr>
    </w:p>
    <w:p>
      <w:r>
        <w:rPr>
          <w:rFonts w:ascii="Arial" w:hAnsi="Arial" w:eastAsia="Arial"/>
          <w:b w:val="0"/>
          <w:i/>
          <w:color w:val="5B6475"/>
          <w:sz w:val="16"/>
        </w:rPr>
        <w:t>Source: A&amp;R RSA and Restructuring Term Sheet, Exhibits C and D [E2]. The allocation to Halyard is HYPOTHETICAL. "Not stated" means the RSA does not address it.</w:t>
      </w:r>
    </w:p>
    <w:p>
      <w:pPr>
        <w:spacing w:before="200"/>
      </w:pPr>
      <w:r>
        <w:rPr>
          <w:rFonts w:ascii="Georgia" w:hAnsi="Georgia" w:eastAsia="Georgia"/>
          <w:b/>
          <w:i w:val="0"/>
          <w:color w:val="1E3A5F"/>
          <w:sz w:val="26"/>
        </w:rPr>
        <w:t>8. Diligence findings</w:t>
      </w:r>
    </w:p>
    <w:p>
      <w:pPr>
        <w:pStyle w:val="ListBullet"/>
      </w:pPr>
      <w:r>
        <w:rPr>
          <w:rFonts w:ascii="Arial" w:hAnsi="Arial" w:eastAsia="Arial"/>
          <w:b/>
          <w:i w:val="0"/>
          <w:color w:val="2A3140"/>
          <w:sz w:val="21"/>
        </w:rPr>
        <w:t>Going concern.</w:t>
      </w:r>
      <w:r>
        <w:rPr>
          <w:rFonts w:ascii="Arial" w:hAnsi="Arial" w:eastAsia="Arial"/>
          <w:b w:val="0"/>
          <w:i w:val="0"/>
          <w:color w:val="2A3140"/>
          <w:sz w:val="21"/>
        </w:rPr>
        <w:t xml:space="preserve"> The FY2025 audited statements (Ernst &amp; Young, issued 30 April 2026) carry substantial doubt about OpCo's ability to continue as a going concern [E7].</w:t>
      </w:r>
    </w:p>
    <w:p>
      <w:pPr>
        <w:pStyle w:val="ListBullet"/>
      </w:pPr>
      <w:r>
        <w:rPr>
          <w:rFonts w:ascii="Arial" w:hAnsi="Arial" w:eastAsia="Arial"/>
          <w:b/>
          <w:i w:val="0"/>
          <w:color w:val="2A3140"/>
          <w:sz w:val="21"/>
        </w:rPr>
        <w:t>Liquidity.</w:t>
      </w:r>
      <w:r>
        <w:rPr>
          <w:rFonts w:ascii="Arial" w:hAnsi="Arial" w:eastAsia="Arial"/>
          <w:b w:val="0"/>
          <w:i w:val="0"/>
          <w:color w:val="2A3140"/>
          <w:sz w:val="21"/>
        </w:rPr>
        <w:t xml:space="preserve"> OpCo drew its debt service reserve for the 1 January 2026 coupon [E8]. Bridge notes followed at a 70% issue price in June and August 2026 [E3]. A court order of 29 September 2026 made $190.0M of the $257.7M in-court facility available; the final hearing is set for 29 October 2026, and a creditor, CK Opportunities Fund, has objected to the priming liens (Captables, 7 October 2026, secondary) [E15].</w:t>
      </w:r>
    </w:p>
    <w:p>
      <w:pPr>
        <w:pStyle w:val="ListBullet"/>
      </w:pPr>
      <w:r>
        <w:rPr>
          <w:rFonts w:ascii="Arial" w:hAnsi="Arial" w:eastAsia="Arial"/>
          <w:b/>
          <w:i w:val="0"/>
          <w:color w:val="2A3140"/>
          <w:sz w:val="21"/>
        </w:rPr>
        <w:t>Ridership claims.</w:t>
      </w:r>
      <w:r>
        <w:rPr>
          <w:rFonts w:ascii="Arial" w:hAnsi="Arial" w:eastAsia="Arial"/>
          <w:b w:val="0"/>
          <w:i w:val="0"/>
          <w:color w:val="2A3140"/>
          <w:sz w:val="21"/>
        </w:rPr>
        <w:t xml:space="preserve"> A management declaration is reported as citing 3.6 million trailing-12-month riders through July 2026 [E15]. The monthly reports give 3,391,938 for that period (Exhibit 3).</w:t>
      </w:r>
    </w:p>
    <w:p>
      <w:pPr>
        <w:pStyle w:val="ListBullet"/>
      </w:pPr>
      <w:r>
        <w:rPr>
          <w:rFonts w:ascii="Arial" w:hAnsi="Arial" w:eastAsia="Arial"/>
          <w:b/>
          <w:i w:val="0"/>
          <w:color w:val="2A3140"/>
          <w:sz w:val="21"/>
        </w:rPr>
        <w:t>Documents not yet public.</w:t>
      </w:r>
      <w:r>
        <w:rPr>
          <w:rFonts w:ascii="Arial" w:hAnsi="Arial" w:eastAsia="Arial"/>
          <w:b w:val="0"/>
          <w:i w:val="0"/>
          <w:color w:val="2A3140"/>
          <w:sz w:val="21"/>
        </w:rPr>
        <w:t xml:space="preserve"> The FCCR definition, the exit notes' covenants and call protection, the commitment schedule, and whether the notes will be tax-exempt.</w:t>
      </w:r>
    </w:p>
    <w:p>
      <w:pPr>
        <w:pStyle w:val="ListBullet"/>
      </w:pPr>
      <w:r>
        <w:rPr>
          <w:rFonts w:ascii="Arial" w:hAnsi="Arial" w:eastAsia="Arial"/>
          <w:b/>
          <w:i w:val="0"/>
          <w:color w:val="2A3140"/>
          <w:sz w:val="21"/>
        </w:rPr>
        <w:t>Control.</w:t>
      </w:r>
      <w:r>
        <w:rPr>
          <w:rFonts w:ascii="Arial" w:hAnsi="Arial" w:eastAsia="Arial"/>
          <w:b w:val="0"/>
          <w:i w:val="0"/>
          <w:color w:val="2A3140"/>
          <w:sz w:val="21"/>
        </w:rPr>
        <w:t xml:space="preserve"> Assured insures $1,133.44M of the OpCo bonds, controls the in-court facility and holds consent rights over first-lien debt [E2].</w:t>
      </w:r>
    </w:p>
    <w:p>
      <w:pPr>
        <w:pStyle w:val="ListBullet"/>
      </w:pPr>
      <w:r>
        <w:rPr>
          <w:rFonts w:ascii="Arial" w:hAnsi="Arial" w:eastAsia="Arial"/>
          <w:b/>
          <w:i w:val="0"/>
          <w:color w:val="2A3140"/>
          <w:sz w:val="21"/>
        </w:rPr>
        <w:t>Market signal.</w:t>
      </w:r>
      <w:r>
        <w:rPr>
          <w:rFonts w:ascii="Arial" w:hAnsi="Arial" w:eastAsia="Arial"/>
          <w:b w:val="0"/>
          <w:i w:val="0"/>
          <w:color w:val="2A3140"/>
          <w:sz w:val="21"/>
        </w:rPr>
        <w:t xml:space="preserve"> Uninsured OpCo bonds fell from 64.0 to 45.5 between April and September 2026 [E9].</w:t>
      </w:r>
    </w:p>
    <w:p>
      <w:pPr>
        <w:spacing w:before="200"/>
      </w:pPr>
      <w:r>
        <w:rPr>
          <w:rFonts w:ascii="Georgia" w:hAnsi="Georgia" w:eastAsia="Georgia"/>
          <w:b/>
          <w:i w:val="0"/>
          <w:color w:val="1E3A5F"/>
          <w:sz w:val="26"/>
        </w:rPr>
        <w:t>9. Questions</w:t>
      </w:r>
    </w:p>
    <w:p>
      <w:r>
        <w:rPr>
          <w:rFonts w:ascii="Arial" w:hAnsi="Arial" w:eastAsia="Arial"/>
          <w:b w:val="0"/>
          <w:i w:val="0"/>
          <w:color w:val="2A3140"/>
          <w:sz w:val="21"/>
        </w:rPr>
        <w:t xml:space="preserve">1. </w:t>
      </w:r>
      <w:r>
        <w:rPr>
          <w:rFonts w:ascii="Arial" w:hAnsi="Arial" w:eastAsia="Arial"/>
          <w:b/>
          <w:i w:val="0"/>
          <w:color w:val="2A3140"/>
          <w:sz w:val="21"/>
        </w:rPr>
        <w:t>Forecast against actual.</w:t>
      </w:r>
      <w:r>
        <w:rPr>
          <w:rFonts w:ascii="Arial" w:hAnsi="Arial" w:eastAsia="Arial"/>
          <w:b w:val="0"/>
          <w:i w:val="0"/>
          <w:color w:val="2A3140"/>
          <w:sz w:val="21"/>
        </w:rPr>
        <w:t xml:space="preserve"> Using Exhibits 1–4, compare actual riders, average fare and total revenue for FY24A, FY25A and the twelve months to June 2026 (LTM Jun-26) with each official-statement ramp-up scenario. Split the FY25A revenue shortfall against Scenario 2 into a volume effect and a fare effect, and say which, if any, of the published projections is still a credible base case for a 10-year note.</w:t>
      </w:r>
    </w:p>
    <w:p>
      <w:r>
        <w:rPr>
          <w:rFonts w:ascii="Arial" w:hAnsi="Arial" w:eastAsia="Arial"/>
          <w:b w:val="0"/>
          <w:i w:val="0"/>
          <w:color w:val="2A3140"/>
          <w:sz w:val="21"/>
        </w:rPr>
        <w:t xml:space="preserve">2. </w:t>
      </w:r>
      <w:r>
        <w:rPr>
          <w:rFonts w:ascii="Arial" w:hAnsi="Arial" w:eastAsia="Arial"/>
          <w:b/>
          <w:i w:val="0"/>
          <w:color w:val="2A3140"/>
          <w:sz w:val="21"/>
        </w:rPr>
        <w:t>Coverage and the cash-pay test.</w:t>
      </w:r>
      <w:r>
        <w:rPr>
          <w:rFonts w:ascii="Arial" w:hAnsi="Arial" w:eastAsia="Arial"/>
          <w:b w:val="0"/>
          <w:i w:val="0"/>
          <w:color w:val="2A3140"/>
          <w:sz w:val="21"/>
        </w:rPr>
        <w:t xml:space="preserve"> Define the EBITDA you would use for the FCCR (state your basis: train-level or after corporate costs, LTM Jun-26 or FY25A) and compute the FCCR at exit on fixed charges of OpCo bond cash interest, Citizens interest at 1M CME Term SOFR of 3.925% (9 October 2026) plus 2.00%, and Pari Passu interest at 8.5%. Then solve for the EBITDA, revenue and riders needed to reach the 1.30x cash-pay trigger, the year OpCo might reach it on a growth path you justify from Exhibits 2 and 10, and the accreted value of Halyard's $50.0M at maturity if interest is paid in kind throughout.</w:t>
      </w:r>
    </w:p>
    <w:p>
      <w:r>
        <w:rPr>
          <w:rFonts w:ascii="Arial" w:hAnsi="Arial" w:eastAsia="Arial"/>
          <w:b w:val="0"/>
          <w:i w:val="0"/>
          <w:color w:val="2A3140"/>
          <w:sz w:val="21"/>
        </w:rPr>
        <w:t xml:space="preserve">3. </w:t>
      </w:r>
      <w:r>
        <w:rPr>
          <w:rFonts w:ascii="Arial" w:hAnsi="Arial" w:eastAsia="Arial"/>
          <w:b/>
          <w:i w:val="0"/>
          <w:color w:val="2A3140"/>
          <w:sz w:val="21"/>
        </w:rPr>
        <w:t>Relative value.</w:t>
      </w:r>
      <w:r>
        <w:rPr>
          <w:rFonts w:ascii="Arial" w:hAnsi="Arial" w:eastAsia="Arial"/>
          <w:b w:val="0"/>
          <w:i w:val="0"/>
          <w:color w:val="2A3140"/>
          <w:sz w:val="21"/>
        </w:rPr>
        <w:t xml:space="preserve"> Compare the 8.5% PIK notes at par with the yields implied by OpCo's own uninsured and insured bonds at their quoted prices, the in-court facility, the bridge notes, the Junior Exit Notes and the private credit premium (Exhibit 7). Address the tax-exempt versus taxable comparison and the fact that the traded maturity is not disclosed. State the yield Halyard should require for this risk and what it implies for price or coupon.</w:t>
      </w:r>
    </w:p>
    <w:p>
      <w:r>
        <w:rPr>
          <w:rFonts w:ascii="Arial" w:hAnsi="Arial" w:eastAsia="Arial"/>
          <w:b w:val="0"/>
          <w:i w:val="0"/>
          <w:color w:val="2A3140"/>
          <w:sz w:val="21"/>
        </w:rPr>
        <w:t xml:space="preserve">4. </w:t>
      </w:r>
      <w:r>
        <w:rPr>
          <w:rFonts w:ascii="Arial" w:hAnsi="Arial" w:eastAsia="Arial"/>
          <w:b/>
          <w:i w:val="0"/>
          <w:color w:val="2A3140"/>
          <w:sz w:val="21"/>
        </w:rPr>
        <w:t>Downside.</w:t>
      </w:r>
      <w:r>
        <w:rPr>
          <w:rFonts w:ascii="Arial" w:hAnsi="Arial" w:eastAsia="Arial"/>
          <w:b w:val="0"/>
          <w:i w:val="0"/>
          <w:color w:val="2A3140"/>
          <w:sz w:val="21"/>
        </w:rPr>
        <w:t xml:space="preserve"> Stress OpCo's cash flow for (i) riders and fares staying at their LTM Jun-26 level, so the gap to the official-statement forecast persists; (ii) the worst quarter since Orlando opened (Exhibit 8), annualised; and (iii) the forward curve 100bp higher. For each, report FCCR, cash burn against the $125M sweep threshold, and the recovery on the Pari Passu notes under an enterprise value you justify from the bond prices in Exhibit 7.</w:t>
      </w:r>
    </w:p>
    <w:p>
      <w:r>
        <w:rPr>
          <w:rFonts w:ascii="Arial" w:hAnsi="Arial" w:eastAsia="Arial"/>
          <w:b w:val="0"/>
          <w:i w:val="0"/>
          <w:color w:val="2A3140"/>
          <w:sz w:val="21"/>
        </w:rPr>
        <w:t xml:space="preserve">5. </w:t>
      </w:r>
      <w:r>
        <w:rPr>
          <w:rFonts w:ascii="Arial" w:hAnsi="Arial" w:eastAsia="Arial"/>
          <w:b/>
          <w:i w:val="0"/>
          <w:color w:val="2A3140"/>
          <w:sz w:val="21"/>
        </w:rPr>
        <w:t>Structure and documents.</w:t>
      </w:r>
      <w:r>
        <w:rPr>
          <w:rFonts w:ascii="Arial" w:hAnsi="Arial" w:eastAsia="Arial"/>
          <w:b w:val="0"/>
          <w:i w:val="0"/>
          <w:color w:val="2A3140"/>
          <w:sz w:val="21"/>
        </w:rPr>
        <w:t xml:space="preserve"> Assess where the notes really rank: against the insured and uninsured OpCo bonds, Deferred Interest, the Citizens facility and the Junior Exit Notes; Assured's control and consent rights; the sweep mechanics; and the gaps in the term sheet. Size a counter-proposal: what changes to ranking, coupon, cash pay, fees or equity participation would make the ticket acceptable, and would your answer change if Halyard also bought Junior Exit Notes?</w:t>
      </w:r>
    </w:p>
    <w:p>
      <w:r>
        <w:rPr>
          <w:rFonts w:ascii="Arial" w:hAnsi="Arial" w:eastAsia="Arial"/>
          <w:b w:val="0"/>
          <w:i w:val="0"/>
          <w:color w:val="2A3140"/>
          <w:sz w:val="21"/>
        </w:rPr>
        <w:t xml:space="preserve">6. </w:t>
      </w:r>
      <w:r>
        <w:rPr>
          <w:rFonts w:ascii="Arial" w:hAnsi="Arial" w:eastAsia="Arial"/>
          <w:b/>
          <w:i w:val="0"/>
          <w:color w:val="2A3140"/>
          <w:sz w:val="21"/>
        </w:rPr>
        <w:t>Recommendation.</w:t>
      </w:r>
      <w:r>
        <w:rPr>
          <w:rFonts w:ascii="Arial" w:hAnsi="Arial" w:eastAsia="Arial"/>
          <w:b w:val="0"/>
          <w:i w:val="0"/>
          <w:color w:val="2A3140"/>
          <w:sz w:val="21"/>
        </w:rPr>
        <w:t xml:space="preserve"> Commit, decline or counter. Give hold size, pricing and the conditions precedent, the diligence you still need before the plan effective date, and what would change your view.</w:t>
      </w:r>
    </w:p>
    <w:sectPr w:rsidR="00FC693F" w:rsidRPr="0006063C" w:rsidSect="00034616">
      <w:headerReference w:type="default" r:id="rId9"/>
      <w:footerReference w:type="default" r:id="rId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Arial" w:hAnsi="Arial" w:eastAsia="Arial"/>
        <w:b w:val="0"/>
        <w:i w:val="0"/>
        <w:color w:val="5B6475"/>
        <w:sz w:val="16"/>
      </w:rPr>
      <w:t xml:space="preserve">IC Simulator · Brightline Florida: new money · Advanced · Practice use only · Page </w:t>
    </w:r>
    <w:r>
      <w:rPr>
        <w:color w:val="5B6475"/>
        <w:sz w:val="16"/>
      </w:rPr>
      <w:fldChar w:fldCharType="begin"/>
    </w:r>
    <w:r>
      <w:rPr>
        <w:color w:val="5B6475"/>
        <w:sz w:val="16"/>
      </w:rPr>
      <w:instrText xml:space="preserve">PAGE</w:instrText>
    </w:r>
    <w:r>
      <w:rPr>
        <w:color w:val="5B6475"/>
        <w:sz w:val="16"/>
      </w:rPr>
      <w:fldChar w:fldCharType="end"/>
    </w:r>
    <w:r>
      <w:rPr>
        <w:rFonts w:ascii="Arial" w:hAnsi="Arial" w:eastAsia="Arial"/>
        <w:b w:val="0"/>
        <w:i w:val="0"/>
        <w:color w:val="5B6475"/>
        <w:sz w:val="16"/>
      </w:rPr>
      <w:t xml:space="preserve"> of </w:t>
    </w:r>
    <w:r>
      <w:rPr>
        <w:color w:val="5B6475"/>
        <w:sz w:val="16"/>
      </w:rPr>
      <w:fldChar w:fldCharType="begin"/>
    </w:r>
    <w:r>
      <w:rPr>
        <w:color w:val="5B6475"/>
        <w:sz w:val="16"/>
      </w:rPr>
      <w:instrText xml:space="preserve">NUMPAGES</w:instrText>
    </w:r>
    <w:r>
      <w:rPr>
        <w:color w:val="5B6475"/>
        <w:sz w:val="16"/>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rial" w:hAnsi="Arial" w:eastAsia="Arial"/>
        <w:b w:val="0"/>
        <w:i w:val="0"/>
        <w:color w:val="5B6475"/>
        <w:sz w:val="16"/>
      </w:rPr>
      <w:t>Brightline Florida: new money · Case packet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olor w:val="2A314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Brightline Florida: new money · Case packet</dc:title>
  <dc:subject/>
  <dc:creator>IC Simulator</dc:creator>
  <cp:keywords/>
  <dc:description>generated by python-docx</dc:description>
  <cp:lastModifiedBy/>
  <cp:revision>1</cp:revision>
  <dcterms:created xsi:type="dcterms:W3CDTF">2013-12-23T23:15:00Z</dcterms:created>
  <dcterms:modified xsi:type="dcterms:W3CDTF">2013-12-23T23:15:00Z</dcterms:modified>
  <cp:category/>
</cp:coreProperties>
</file>