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eorgia" w:hAnsi="Georgia" w:eastAsia="Georgia"/>
          <w:b w:val="0"/>
          <w:i w:val="0"/>
          <w:color w:val="121826"/>
          <w:sz w:val="36"/>
        </w:rPr>
        <w:t>CoreWeave: buying into DDTL 5.5</w:t>
      </w:r>
    </w:p>
    <w:p>
      <w:r>
        <w:rPr>
          <w:rFonts w:ascii="Arial" w:hAnsi="Arial" w:eastAsia="Arial"/>
          <w:b w:val="0"/>
          <w:i/>
          <w:color w:val="2A3140"/>
          <w:sz w:val="21"/>
        </w:rPr>
        <w:t>AI &amp; tech · Advanced · From SEC filings and the filed credit agreement · Take-home (1–2 days) · Version 1, 12 Oct 2026 · Uncalibrated · Practice use only</w:t>
      </w:r>
    </w:p>
    <w:p>
      <w:pPr>
        <w:ind w:left="360"/>
        <w:shd w:val="clear" w:fill="F2F4F8"/>
      </w:pPr>
      <w:r>
        <w:rPr>
          <w:rFonts w:ascii="Arial" w:hAnsi="Arial" w:eastAsia="Arial"/>
          <w:b/>
          <w:i w:val="0"/>
          <w:color w:val="2A3140"/>
          <w:sz w:val="19"/>
        </w:rPr>
        <w:t>About this case.</w:t>
      </w:r>
      <w:r>
        <w:rPr>
          <w:rFonts w:ascii="Arial" w:hAnsi="Arial" w:eastAsia="Arial"/>
          <w:b w:val="0"/>
          <w:i w:val="0"/>
          <w:color w:val="2A3140"/>
          <w:sz w:val="19"/>
        </w:rPr>
        <w:t xml:space="preserve"> CoreWeave, Inc. (NASDAQ: CRWV), its SEC filings and the DDTL 5.5 facility are real. The facility terms come from the Credit Agreement dated 7 Aug 2026, filed with an 8-K on 10 Aug 2026; terms the company redacted are shown as [*]. The secondary purchase of $250.0M of commitments, its 99.50 price, the trade dates and the buyer, Tamsin Credit Partners, are hypothetical and were written for training. Financial data are to 30 Jun 2026; market data are to 9–12 Oct 2026. Exhibits 1–7 are in exhibits-coreweave-ddtl-5-5.xlsx; source tags such as [S5] refer to its README.</w:t>
      </w:r>
    </w:p>
    <w:p>
      <w:pPr>
        <w:spacing w:before="240"/>
      </w:pPr>
      <w:r>
        <w:rPr>
          <w:rFonts w:ascii="Georgia" w:hAnsi="Georgia" w:eastAsia="Georgia"/>
          <w:b/>
          <w:i w:val="0"/>
          <w:color w:val="1E3A5F"/>
          <w:sz w:val="26"/>
        </w:rPr>
        <w:t>0. The ask</w:t>
      </w:r>
    </w:p>
    <w:p>
      <w:r>
        <w:rPr>
          <w:rFonts w:ascii="Arial" w:hAnsi="Arial" w:eastAsia="Arial"/>
          <w:b w:val="0"/>
          <w:i w:val="0"/>
          <w:color w:val="2A3140"/>
          <w:sz w:val="21"/>
        </w:rPr>
        <w:t>You are an associate in the asset-backed and infrastructure credit team at Tamsin Credit Partners, a private credit manager. A syndicate bank has offered Tamsin $250.0M of commitments in DDTL 5.5, the $2.6bn delayed-draw term loan to a CoreWeave financing vehicle, at 99.50. About $115.4M would be funded at settlement and $134.6M would remain unfunded until draws end on 31 Dec 2026. The loan is backed by GPU servers and customer contracts that average about three years; it matures on 1 Sep 2031. The investment committee meets on Thursday 22 Oct 2026 and wants to know whether to buy, at what size and price, and what must be confirmed first.</w:t>
      </w:r>
    </w:p>
    <w:p>
      <w:r>
        <w:rPr>
          <w:rFonts w:ascii="Arial" w:hAnsi="Arial" w:eastAsia="Arial"/>
          <w:b/>
          <w:i w:val="0"/>
          <w:color w:val="2A3140"/>
          <w:sz w:val="21"/>
        </w:rPr>
        <w:t>Deliverables:</w:t>
      </w:r>
      <w:r>
        <w:rPr>
          <w:rFonts w:ascii="Arial" w:hAnsi="Arial" w:eastAsia="Arial"/>
          <w:b w:val="0"/>
          <w:i w:val="0"/>
          <w:color w:val="2A3140"/>
          <w:sz w:val="21"/>
        </w:rPr>
        <w:t xml:space="preserve"> a full IC memo, your model and a 10-slide deck. </w:t>
      </w:r>
      <w:r>
        <w:rPr>
          <w:rFonts w:ascii="Arial" w:hAnsi="Arial" w:eastAsia="Arial"/>
          <w:b/>
          <w:i w:val="0"/>
          <w:color w:val="2A3140"/>
          <w:sz w:val="21"/>
        </w:rPr>
        <w:t>Time budget:</w:t>
      </w:r>
      <w:r>
        <w:rPr>
          <w:rFonts w:ascii="Arial" w:hAnsi="Arial" w:eastAsia="Arial"/>
          <w:b w:val="0"/>
          <w:i w:val="0"/>
          <w:color w:val="2A3140"/>
          <w:sz w:val="21"/>
        </w:rPr>
        <w:t xml:space="preserve"> take-home, 1–2 days.</w:t>
      </w:r>
    </w:p>
    <w:p>
      <w:pPr>
        <w:spacing w:before="240"/>
      </w:pPr>
      <w:r>
        <w:rPr>
          <w:rFonts w:ascii="Georgia" w:hAnsi="Georgia" w:eastAsia="Georgia"/>
          <w:b/>
          <w:i w:val="0"/>
          <w:color w:val="1E3A5F"/>
          <w:sz w:val="26"/>
        </w:rPr>
        <w:t>1. Transaction summary</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736"/>
        <w:gridCol w:w="6624"/>
      </w:tblGrid>
      <w:tr>
        <w:tc>
          <w:tcPr>
            <w:tcW w:type="dxa" w:w="2736"/>
            <w:shd w:val="clear" w:color="auto" w:fill="E4EAF3"/>
          </w:tcPr>
          <w:p>
            <w:r/>
            <w:r>
              <w:rPr>
                <w:rFonts w:ascii="Arial" w:hAnsi="Arial" w:eastAsia="Arial"/>
                <w:b/>
                <w:i w:val="0"/>
                <w:color w:val="121826"/>
                <w:sz w:val="17"/>
              </w:rPr>
              <w:t>Item</w:t>
            </w:r>
          </w:p>
        </w:tc>
        <w:tc>
          <w:tcPr>
            <w:tcW w:type="dxa" w:w="6624"/>
            <w:shd w:val="clear" w:color="auto" w:fill="E4EAF3"/>
          </w:tcPr>
          <w:p>
            <w:r/>
            <w:r>
              <w:rPr>
                <w:rFonts w:ascii="Arial" w:hAnsi="Arial" w:eastAsia="Arial"/>
                <w:b/>
                <w:i w:val="0"/>
                <w:color w:val="121826"/>
                <w:sz w:val="17"/>
              </w:rPr>
              <w:t>Detail</w:t>
            </w:r>
          </w:p>
        </w:tc>
      </w:tr>
      <w:tr>
        <w:tc>
          <w:tcPr>
            <w:tcW w:type="dxa" w:w="2736"/>
          </w:tcPr>
          <w:p>
            <w:r/>
            <w:r>
              <w:rPr>
                <w:rFonts w:ascii="Arial" w:hAnsi="Arial" w:eastAsia="Arial"/>
                <w:b w:val="0"/>
                <w:i w:val="0"/>
                <w:color w:val="2A3140"/>
                <w:sz w:val="17"/>
              </w:rPr>
              <w:t>Borrower</w:t>
            </w:r>
          </w:p>
        </w:tc>
        <w:tc>
          <w:tcPr>
            <w:tcW w:type="dxa" w:w="6624"/>
          </w:tcPr>
          <w:p>
            <w:r/>
            <w:r>
              <w:rPr>
                <w:rFonts w:ascii="Arial" w:hAnsi="Arial" w:eastAsia="Arial"/>
                <w:b w:val="0"/>
                <w:i w:val="0"/>
                <w:color w:val="2A3140"/>
                <w:sz w:val="17"/>
              </w:rPr>
              <w:t>CoreWeave Financing DDTL V-V, LLC, a limited-purpose special purpose vehicle (SPV) [S5]</w:t>
            </w:r>
          </w:p>
        </w:tc>
      </w:tr>
      <w:tr>
        <w:tc>
          <w:tcPr>
            <w:tcW w:type="dxa" w:w="2736"/>
          </w:tcPr>
          <w:p>
            <w:r/>
            <w:r>
              <w:rPr>
                <w:rFonts w:ascii="Arial" w:hAnsi="Arial" w:eastAsia="Arial"/>
                <w:b w:val="0"/>
                <w:i w:val="0"/>
                <w:color w:val="2A3140"/>
                <w:sz w:val="17"/>
              </w:rPr>
              <w:t>Guarantor and pledgor</w:t>
            </w:r>
          </w:p>
        </w:tc>
        <w:tc>
          <w:tcPr>
            <w:tcW w:type="dxa" w:w="6624"/>
          </w:tcPr>
          <w:p>
            <w:r/>
            <w:r>
              <w:rPr>
                <w:rFonts w:ascii="Arial" w:hAnsi="Arial" w:eastAsia="Arial"/>
                <w:b w:val="0"/>
                <w:i w:val="0"/>
                <w:color w:val="2A3140"/>
                <w:sz w:val="17"/>
              </w:rPr>
              <w:t>CoreWeave, Inc. (the parent) gives an unconditional guarantee of payment; CW Financing DDTL V-V Holdco, LLC pledges the borrower's equity [S5]</w:t>
            </w:r>
          </w:p>
        </w:tc>
      </w:tr>
      <w:tr>
        <w:tc>
          <w:tcPr>
            <w:tcW w:type="dxa" w:w="2736"/>
          </w:tcPr>
          <w:p>
            <w:r/>
            <w:r>
              <w:rPr>
                <w:rFonts w:ascii="Arial" w:hAnsi="Arial" w:eastAsia="Arial"/>
                <w:b w:val="0"/>
                <w:i w:val="0"/>
                <w:color w:val="2A3140"/>
                <w:sz w:val="17"/>
              </w:rPr>
              <w:t>Facility</w:t>
            </w:r>
          </w:p>
        </w:tc>
        <w:tc>
          <w:tcPr>
            <w:tcW w:type="dxa" w:w="6624"/>
          </w:tcPr>
          <w:p>
            <w:r/>
            <w:r>
              <w:rPr>
                <w:rFonts w:ascii="Arial" w:hAnsi="Arial" w:eastAsia="Arial"/>
                <w:b w:val="0"/>
                <w:i w:val="0"/>
                <w:color w:val="2A3140"/>
                <w:sz w:val="17"/>
              </w:rPr>
              <w:t>$2.6bn senior secured delayed-draw term loan (DDTL 5.5); $1.2bn drawn after closing, as disclosed on 12 Aug 2026 [S1]</w:t>
            </w:r>
          </w:p>
        </w:tc>
      </w:tr>
      <w:tr>
        <w:tc>
          <w:tcPr>
            <w:tcW w:type="dxa" w:w="2736"/>
          </w:tcPr>
          <w:p>
            <w:r/>
            <w:r>
              <w:rPr>
                <w:rFonts w:ascii="Arial" w:hAnsi="Arial" w:eastAsia="Arial"/>
                <w:b w:val="0"/>
                <w:i w:val="0"/>
                <w:color w:val="2A3140"/>
                <w:sz w:val="17"/>
              </w:rPr>
              <w:t>Agents and arrangers</w:t>
            </w:r>
          </w:p>
        </w:tc>
        <w:tc>
          <w:tcPr>
            <w:tcW w:type="dxa" w:w="6624"/>
          </w:tcPr>
          <w:p>
            <w:r/>
            <w:r>
              <w:rPr>
                <w:rFonts w:ascii="Arial" w:hAnsi="Arial" w:eastAsia="Arial"/>
                <w:b w:val="0"/>
                <w:i w:val="0"/>
                <w:color w:val="2A3140"/>
                <w:sz w:val="17"/>
              </w:rPr>
              <w:t>JPMorgan Chase Bank, N.A. (administrative agent); U.S. Bank Trust Company, N.A. (collateral agent); U.S. Bank N.A. (depositary bank); JPMorgan and MUFG (joint lead arrangers) [S5]</w:t>
            </w:r>
          </w:p>
        </w:tc>
      </w:tr>
      <w:tr>
        <w:tc>
          <w:tcPr>
            <w:tcW w:type="dxa" w:w="2736"/>
          </w:tcPr>
          <w:p>
            <w:r/>
            <w:r>
              <w:rPr>
                <w:rFonts w:ascii="Arial" w:hAnsi="Arial" w:eastAsia="Arial"/>
                <w:b w:val="0"/>
                <w:i w:val="0"/>
                <w:color w:val="2A3140"/>
                <w:sz w:val="17"/>
              </w:rPr>
              <w:t>Use of proceeds</w:t>
            </w:r>
          </w:p>
        </w:tc>
        <w:tc>
          <w:tcPr>
            <w:tcW w:type="dxa" w:w="6624"/>
          </w:tcPr>
          <w:p>
            <w:r/>
            <w:r>
              <w:rPr>
                <w:rFonts w:ascii="Arial" w:hAnsi="Arial" w:eastAsia="Arial"/>
                <w:b w:val="0"/>
                <w:i w:val="0"/>
                <w:color w:val="2A3140"/>
                <w:sz w:val="17"/>
              </w:rPr>
              <w:t>Up to 70% of the cost of GPU servers, ancillary hardware and installation for capacity contracted under eligible master services agreements (MSAs) [S5]</w:t>
            </w:r>
          </w:p>
        </w:tc>
      </w:tr>
      <w:tr>
        <w:tc>
          <w:tcPr>
            <w:tcW w:type="dxa" w:w="2736"/>
          </w:tcPr>
          <w:p>
            <w:r/>
            <w:r>
              <w:rPr>
                <w:rFonts w:ascii="Arial" w:hAnsi="Arial" w:eastAsia="Arial"/>
                <w:b w:val="0"/>
                <w:i w:val="0"/>
                <w:color w:val="2A3140"/>
                <w:sz w:val="17"/>
              </w:rPr>
              <w:t>Pricing</w:t>
            </w:r>
          </w:p>
        </w:tc>
        <w:tc>
          <w:tcPr>
            <w:tcW w:type="dxa" w:w="6624"/>
          </w:tcPr>
          <w:p>
            <w:r/>
            <w:r>
              <w:rPr>
                <w:rFonts w:ascii="Arial" w:hAnsi="Arial" w:eastAsia="Arial"/>
                <w:b w:val="0"/>
                <w:i w:val="0"/>
                <w:color w:val="2A3140"/>
                <w:sz w:val="17"/>
              </w:rPr>
              <w:t>Term SOFR + 5.50% (0.00% floor); 0.50% undrawn fee. 1M CME Term SOFR was 3.92490% on 9 Oct 2026 [S8]</w:t>
            </w:r>
          </w:p>
        </w:tc>
      </w:tr>
      <w:tr>
        <w:tc>
          <w:tcPr>
            <w:tcW w:type="dxa" w:w="2736"/>
          </w:tcPr>
          <w:p>
            <w:r/>
            <w:r>
              <w:rPr>
                <w:rFonts w:ascii="Arial" w:hAnsi="Arial" w:eastAsia="Arial"/>
                <w:b w:val="0"/>
                <w:i w:val="0"/>
                <w:color w:val="2A3140"/>
                <w:sz w:val="17"/>
              </w:rPr>
              <w:t>Ratings</w:t>
            </w:r>
          </w:p>
        </w:tc>
        <w:tc>
          <w:tcPr>
            <w:tcW w:type="dxa" w:w="6624"/>
          </w:tcPr>
          <w:p>
            <w:r/>
            <w:r>
              <w:rPr>
                <w:rFonts w:ascii="Arial" w:hAnsi="Arial" w:eastAsia="Arial"/>
                <w:b w:val="0"/>
                <w:i w:val="0"/>
                <w:color w:val="2A3140"/>
                <w:sz w:val="17"/>
              </w:rPr>
              <w:t>Ba2 (Moody's) / BB+ (Fitch) for the facility; parent Ba3 / B+ / BB- (Exhibit 6) [S5, S14]</w:t>
            </w:r>
          </w:p>
        </w:tc>
      </w:tr>
      <w:tr>
        <w:tc>
          <w:tcPr>
            <w:tcW w:type="dxa" w:w="2736"/>
          </w:tcPr>
          <w:p>
            <w:r/>
            <w:r>
              <w:rPr>
                <w:rFonts w:ascii="Arial" w:hAnsi="Arial" w:eastAsia="Arial"/>
                <w:b w:val="0"/>
                <w:i w:val="0"/>
                <w:color w:val="2A3140"/>
                <w:sz w:val="17"/>
              </w:rPr>
              <w:t>Availability and maturity</w:t>
            </w:r>
          </w:p>
        </w:tc>
        <w:tc>
          <w:tcPr>
            <w:tcW w:type="dxa" w:w="6624"/>
          </w:tcPr>
          <w:p>
            <w:r/>
            <w:r>
              <w:rPr>
                <w:rFonts w:ascii="Arial" w:hAnsi="Arial" w:eastAsia="Arial"/>
                <w:b w:val="0"/>
                <w:i w:val="0"/>
                <w:color w:val="2A3140"/>
                <w:sz w:val="17"/>
              </w:rPr>
              <w:t>Draws to 31 Dec 2026; maturity 1 Sep 2031</w:t>
            </w:r>
          </w:p>
        </w:tc>
      </w:tr>
      <w:tr>
        <w:tc>
          <w:tcPr>
            <w:tcW w:type="dxa" w:w="2736"/>
          </w:tcPr>
          <w:p>
            <w:r/>
            <w:r>
              <w:rPr>
                <w:rFonts w:ascii="Arial" w:hAnsi="Arial" w:eastAsia="Arial"/>
                <w:b w:val="0"/>
                <w:i w:val="0"/>
                <w:color w:val="2A3140"/>
                <w:sz w:val="17"/>
              </w:rPr>
              <w:t>Proposed purchase (HYPOTHETICAL)</w:t>
            </w:r>
          </w:p>
        </w:tc>
        <w:tc>
          <w:tcPr>
            <w:tcW w:type="dxa" w:w="6624"/>
          </w:tcPr>
          <w:p>
            <w:r/>
            <w:r>
              <w:rPr>
                <w:rFonts w:ascii="Arial" w:hAnsi="Arial" w:eastAsia="Arial"/>
                <w:b w:val="0"/>
                <w:i w:val="0"/>
                <w:color w:val="2A3140"/>
                <w:sz w:val="17"/>
              </w:rPr>
              <w:t>$250.0M of commitments (9.62% of the facility) bought from a syndicate bank at 99.50: $115.4M funded, $134.6M unfunded; trade on 23 Oct 2026</w:t>
            </w:r>
          </w:p>
        </w:tc>
      </w:tr>
    </w:tbl>
    <w:p/>
    <w:p>
      <w:pPr>
        <w:spacing w:before="240"/>
      </w:pPr>
      <w:r>
        <w:rPr>
          <w:rFonts w:ascii="Georgia" w:hAnsi="Georgia" w:eastAsia="Georgia"/>
          <w:b/>
          <w:i w:val="0"/>
          <w:color w:val="1E3A5F"/>
          <w:sz w:val="26"/>
        </w:rPr>
        <w:t>2. Company overview</w:t>
      </w:r>
    </w:p>
    <w:p>
      <w:r>
        <w:rPr>
          <w:rFonts w:ascii="Arial" w:hAnsi="Arial" w:eastAsia="Arial"/>
          <w:b w:val="0"/>
          <w:i w:val="0"/>
          <w:color w:val="2A3140"/>
          <w:sz w:val="21"/>
        </w:rPr>
        <w:t>CoreWeave was founded in September 2017 and launched its cloud platform in 2020. It rents high-end NVIDIA GPU capacity, with networking, storage and software, to AI laboratories, hyperscalers and enterprises, and is headquartered in Livingston, New Jersey. It listed on Nasdaq in March 2025. Michael Intrator, a co-founder, is chief executive and chairman; Nitin Agrawal is chief financial officer. [S1, S3]</w:t>
      </w:r>
    </w:p>
    <w:p>
      <w:r>
        <w:rPr>
          <w:rFonts w:ascii="Arial" w:hAnsi="Arial" w:eastAsia="Arial"/>
          <w:b w:val="0"/>
          <w:i w:val="0"/>
          <w:color w:val="2A3140"/>
          <w:sz w:val="21"/>
        </w:rPr>
        <w:t>The business is capital intensive and contract backed. Customers sign take-or-pay contracts, typically for one to six years, and 98% of revenue in the six months to June 2026 came from committed contracts. Remaining performance obligations (RPO) were $103.7bn at 30 Jun 2026, up from $60.7bn at December 2025 and $15.1bn at December 2024; 41% is expected to be recognized within 24 months. Revenue was $5.1bn in 2025 and $4.7bn in the first half of 2026. Active power reached 1.5 GW at June 2026, with about 3.7 GW contracted. [S1, S2, S4]</w:t>
      </w:r>
    </w:p>
    <w:p>
      <w:r>
        <w:rPr>
          <w:rFonts w:ascii="Arial" w:hAnsi="Arial" w:eastAsia="Arial"/>
          <w:b w:val="0"/>
          <w:i w:val="0"/>
          <w:color w:val="2A3140"/>
          <w:sz w:val="21"/>
        </w:rPr>
        <w:t>Customers are concentrated. Microsoft was 62% of 2024 revenue. In 2025 one customer was 67% of revenue; in the second quarter of 2026 the three largest were 36%, 26% and 10%. Disclosed commitments include OpenAI (up to about $6.5bn through 31 May 2031), Meta (initially up to about $21.0bn under a March 2026 order form) and Jane Street (about $6.0bn, announced April 2026). [S1, S3]</w:t>
      </w:r>
    </w:p>
    <w:p>
      <w:r>
        <w:rPr>
          <w:rFonts w:ascii="Arial" w:hAnsi="Arial" w:eastAsia="Arial"/>
          <w:b w:val="0"/>
          <w:i w:val="0"/>
          <w:color w:val="2A3140"/>
          <w:sz w:val="21"/>
        </w:rPr>
        <w:t>Growth is funded mostly with debt. Capex was $10.3bn in 2025 and $14.1bn in the first half of 2026, and total debt principal was $35.6bn at 30 Jun 2026. Most GPU fleets sit in delayed-draw term loan (DDTL) vehicles: each is an SPV that buys GPUs, leases capacity to named customers under MSAs and repays from those contract cash flows. DDTL 1.0 to 3.0 and 5.0 are guaranteed by the parent; DDTL 4.0 is non-recourse. The parent also has senior unsecured notes, convertible notes, OEM vendor financing and a revolver. Management reported that disclosure controls were not effective at 30 Jun 2026. [S1]</w:t>
      </w:r>
    </w:p>
    <w:p>
      <w:r>
        <w:rPr>
          <w:rFonts w:ascii="Arial" w:hAnsi="Arial" w:eastAsia="Arial"/>
          <w:b w:val="0"/>
          <w:i w:val="0"/>
          <w:color w:val="2A3140"/>
          <w:sz w:val="21"/>
        </w:rPr>
        <w:t>DDTL 5.5 is one of these vehicles. The press release describes its customers only as a "diverse group of leading AI, financial services, and technology customers" and says the contracts average approximately three years against a loan of about five years, so lenders "underwrite renewal risk". The five initial MSAs, their counterparties and the data center sites are redacted in the filed agreement. [S5]</w:t>
      </w:r>
    </w:p>
    <w:p>
      <w:pPr>
        <w:spacing w:before="240"/>
      </w:pPr>
      <w:r>
        <w:rPr>
          <w:rFonts w:ascii="Georgia" w:hAnsi="Georgia" w:eastAsia="Georgia"/>
          <w:b/>
          <w:i w:val="0"/>
          <w:color w:val="1E3A5F"/>
          <w:sz w:val="26"/>
        </w:rPr>
        <w:t>3. Industry</w:t>
      </w:r>
    </w:p>
    <w:p>
      <w:r>
        <w:rPr>
          <w:rFonts w:ascii="Arial" w:hAnsi="Arial" w:eastAsia="Arial"/>
          <w:b w:val="0"/>
          <w:i w:val="0"/>
          <w:color w:val="2A3140"/>
          <w:sz w:val="21"/>
        </w:rPr>
        <w:t>Demand for AI compute has outrun supply since 2023, and specialist GPU clouds ("neoclouds") such as CoreWeave compete with Amazon Web Services, Google Cloud, Microsoft Azure and Oracle, several of which are also CoreWeave customers. [S1] The asset risk is price. Each GPU generation resets the market: on 11 Oct 2026 the transacted Ornn index priced H100 rental at $2.65 per GPU-hour, against $7.45 for the newer B200 and $0.96 for the older A100. The H100 index fell 7.7% in 30 days. [S17] Listed H100 on-demand rates are higher (median $3.49 in the week of 5 Oct 2026), and a reconstructed index of listed rates stood at 78.4 against 100 in January 2025. [S18] Older cohorts fall further: the median for pre-2020 GPUs fell from $1.77 to $0.95 between October 2024 and September 2026. [S19] Contract rates can also rise when capacity is short: a survey-based H100 one-year contract index moved from $1.70 in October 2025 to $2.35 in March 2026. [S20]</w:t>
      </w:r>
    </w:p>
    <w:p>
      <w:r>
        <w:rPr>
          <w:rFonts w:ascii="Arial" w:hAnsi="Arial" w:eastAsia="Arial"/>
          <w:b w:val="0"/>
          <w:i w:val="0"/>
          <w:color w:val="2A3140"/>
          <w:sz w:val="21"/>
        </w:rPr>
        <w:t>Hardware resale is thin and opaque. Posted asks in August 2026 were $40,555 per GPU for a new H100 node and $30,750 for a refurbished one, against $68,035 for a new B300 node. [S21] Funding costs have risen: the Fed raised its target range to 3.75%–4.00% on 16 Sep 2026, and the 5-year Treasury yield was 4.99% on 8 Oct 2026. [S10, S11]</w:t>
      </w:r>
    </w:p>
    <w:p>
      <w:pPr>
        <w:spacing w:before="240"/>
      </w:pPr>
      <w:r>
        <w:rPr>
          <w:rFonts w:ascii="Georgia" w:hAnsi="Georgia" w:eastAsia="Georgia"/>
          <w:b/>
          <w:i w:val="0"/>
          <w:color w:val="1E3A5F"/>
          <w:sz w:val="26"/>
        </w:rPr>
        <w:t>4. Financial summary ($M, FYE Dec)</w:t>
      </w:r>
    </w:p>
    <w:p>
      <w:r>
        <w:rPr>
          <w:rFonts w:ascii="Arial" w:hAnsi="Arial" w:eastAsia="Arial"/>
          <w:b/>
          <w:i w:val="0"/>
          <w:color w:val="2A3140"/>
          <w:sz w:val="21"/>
        </w:rPr>
        <w:t>Exhibit 1 extract: CoreWeave, Inc. consolidated</w:t>
      </w:r>
      <w:r>
        <w:rPr>
          <w:rFonts w:ascii="Arial" w:hAnsi="Arial" w:eastAsia="Arial"/>
          <w:b w:val="0"/>
          <w:i w:val="0"/>
          <w:color w:val="2A3140"/>
          <w:sz w:val="21"/>
        </w:rPr>
        <w:t xml:space="preserve"> ($ in millions; FY2023A–FY2024A from the IPO prospectus, FY2025A from the 10-K, 6M columns from the 2Q26 10-Q; LTM Jun-26 = FY2025A + 6M Jun-26A − 6M Jun-25A)</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880"/>
        <w:gridCol w:w="1080"/>
        <w:gridCol w:w="1080"/>
        <w:gridCol w:w="1080"/>
        <w:gridCol w:w="1080"/>
        <w:gridCol w:w="1080"/>
        <w:gridCol w:w="1080"/>
      </w:tblGrid>
      <w:tr>
        <w:tc>
          <w:tcPr>
            <w:tcW w:type="dxa" w:w="2880"/>
            <w:shd w:val="clear" w:color="auto" w:fill="E4EAF3"/>
          </w:tcPr>
          <w:p>
            <w:r/>
            <w:r>
              <w:rPr>
                <w:rFonts w:ascii="Arial" w:hAnsi="Arial" w:eastAsia="Arial"/>
                <w:b/>
                <w:i w:val="0"/>
                <w:color w:val="121826"/>
                <w:sz w:val="17"/>
              </w:rPr>
              <w:t>$M</w:t>
            </w:r>
          </w:p>
        </w:tc>
        <w:tc>
          <w:tcPr>
            <w:tcW w:type="dxa" w:w="1080"/>
            <w:shd w:val="clear" w:color="auto" w:fill="E4EAF3"/>
          </w:tcPr>
          <w:p>
            <w:r/>
            <w:r>
              <w:rPr>
                <w:rFonts w:ascii="Arial" w:hAnsi="Arial" w:eastAsia="Arial"/>
                <w:b/>
                <w:i w:val="0"/>
                <w:color w:val="121826"/>
                <w:sz w:val="17"/>
              </w:rPr>
              <w:t>FY2023A</w:t>
            </w:r>
          </w:p>
        </w:tc>
        <w:tc>
          <w:tcPr>
            <w:tcW w:type="dxa" w:w="1080"/>
            <w:shd w:val="clear" w:color="auto" w:fill="E4EAF3"/>
          </w:tcPr>
          <w:p>
            <w:r/>
            <w:r>
              <w:rPr>
                <w:rFonts w:ascii="Arial" w:hAnsi="Arial" w:eastAsia="Arial"/>
                <w:b/>
                <w:i w:val="0"/>
                <w:color w:val="121826"/>
                <w:sz w:val="17"/>
              </w:rPr>
              <w:t>FY2024A</w:t>
            </w:r>
          </w:p>
        </w:tc>
        <w:tc>
          <w:tcPr>
            <w:tcW w:type="dxa" w:w="1080"/>
            <w:shd w:val="clear" w:color="auto" w:fill="E4EAF3"/>
          </w:tcPr>
          <w:p>
            <w:r/>
            <w:r>
              <w:rPr>
                <w:rFonts w:ascii="Arial" w:hAnsi="Arial" w:eastAsia="Arial"/>
                <w:b/>
                <w:i w:val="0"/>
                <w:color w:val="121826"/>
                <w:sz w:val="17"/>
              </w:rPr>
              <w:t>FY2025A</w:t>
            </w:r>
          </w:p>
        </w:tc>
        <w:tc>
          <w:tcPr>
            <w:tcW w:type="dxa" w:w="1080"/>
            <w:shd w:val="clear" w:color="auto" w:fill="E4EAF3"/>
          </w:tcPr>
          <w:p>
            <w:r/>
            <w:r>
              <w:rPr>
                <w:rFonts w:ascii="Arial" w:hAnsi="Arial" w:eastAsia="Arial"/>
                <w:b/>
                <w:i w:val="0"/>
                <w:color w:val="121826"/>
                <w:sz w:val="17"/>
              </w:rPr>
              <w:t>6M Jun-25A</w:t>
            </w:r>
          </w:p>
        </w:tc>
        <w:tc>
          <w:tcPr>
            <w:tcW w:type="dxa" w:w="1080"/>
            <w:shd w:val="clear" w:color="auto" w:fill="E4EAF3"/>
          </w:tcPr>
          <w:p>
            <w:r/>
            <w:r>
              <w:rPr>
                <w:rFonts w:ascii="Arial" w:hAnsi="Arial" w:eastAsia="Arial"/>
                <w:b/>
                <w:i w:val="0"/>
                <w:color w:val="121826"/>
                <w:sz w:val="17"/>
              </w:rPr>
              <w:t>6M Jun-26A</w:t>
            </w:r>
          </w:p>
        </w:tc>
        <w:tc>
          <w:tcPr>
            <w:tcW w:type="dxa" w:w="1080"/>
            <w:shd w:val="clear" w:color="auto" w:fill="E4EAF3"/>
          </w:tcPr>
          <w:p>
            <w:r/>
            <w:r>
              <w:rPr>
                <w:rFonts w:ascii="Arial" w:hAnsi="Arial" w:eastAsia="Arial"/>
                <w:b/>
                <w:i w:val="0"/>
                <w:color w:val="121826"/>
                <w:sz w:val="17"/>
              </w:rPr>
              <w:t>LTM Jun-26</w:t>
            </w:r>
          </w:p>
        </w:tc>
      </w:tr>
      <w:tr>
        <w:tc>
          <w:tcPr>
            <w:tcW w:type="dxa" w:w="2880"/>
          </w:tcPr>
          <w:p>
            <w:r/>
            <w:r>
              <w:rPr>
                <w:rFonts w:ascii="Arial" w:hAnsi="Arial" w:eastAsia="Arial"/>
                <w:b w:val="0"/>
                <w:i w:val="0"/>
                <w:color w:val="2A3140"/>
                <w:sz w:val="17"/>
              </w:rPr>
              <w:t>Revenue</w:t>
            </w:r>
          </w:p>
        </w:tc>
        <w:tc>
          <w:tcPr>
            <w:tcW w:type="dxa" w:w="1080"/>
          </w:tcPr>
          <w:p>
            <w:pPr>
              <w:jc w:val="right"/>
            </w:pPr>
            <w:r/>
            <w:r>
              <w:rPr>
                <w:rFonts w:ascii="Arial" w:hAnsi="Arial" w:eastAsia="Arial"/>
                <w:b w:val="0"/>
                <w:i w:val="0"/>
                <w:color w:val="2A3140"/>
                <w:sz w:val="17"/>
              </w:rPr>
              <w:t>228.9</w:t>
            </w:r>
          </w:p>
        </w:tc>
        <w:tc>
          <w:tcPr>
            <w:tcW w:type="dxa" w:w="1080"/>
          </w:tcPr>
          <w:p>
            <w:pPr>
              <w:jc w:val="right"/>
            </w:pPr>
            <w:r/>
            <w:r>
              <w:rPr>
                <w:rFonts w:ascii="Arial" w:hAnsi="Arial" w:eastAsia="Arial"/>
                <w:b w:val="0"/>
                <w:i w:val="0"/>
                <w:color w:val="2A3140"/>
                <w:sz w:val="17"/>
              </w:rPr>
              <w:t>1,915.4</w:t>
            </w:r>
          </w:p>
        </w:tc>
        <w:tc>
          <w:tcPr>
            <w:tcW w:type="dxa" w:w="1080"/>
          </w:tcPr>
          <w:p>
            <w:pPr>
              <w:jc w:val="right"/>
            </w:pPr>
            <w:r/>
            <w:r>
              <w:rPr>
                <w:rFonts w:ascii="Arial" w:hAnsi="Arial" w:eastAsia="Arial"/>
                <w:b w:val="0"/>
                <w:i w:val="0"/>
                <w:color w:val="2A3140"/>
                <w:sz w:val="17"/>
              </w:rPr>
              <w:t>5,131.0</w:t>
            </w:r>
          </w:p>
        </w:tc>
        <w:tc>
          <w:tcPr>
            <w:tcW w:type="dxa" w:w="1080"/>
          </w:tcPr>
          <w:p>
            <w:pPr>
              <w:jc w:val="right"/>
            </w:pPr>
            <w:r/>
            <w:r>
              <w:rPr>
                <w:rFonts w:ascii="Arial" w:hAnsi="Arial" w:eastAsia="Arial"/>
                <w:b w:val="0"/>
                <w:i w:val="0"/>
                <w:color w:val="2A3140"/>
                <w:sz w:val="17"/>
              </w:rPr>
              <w:t>2,194.0</w:t>
            </w:r>
          </w:p>
        </w:tc>
        <w:tc>
          <w:tcPr>
            <w:tcW w:type="dxa" w:w="1080"/>
          </w:tcPr>
          <w:p>
            <w:pPr>
              <w:jc w:val="right"/>
            </w:pPr>
            <w:r/>
            <w:r>
              <w:rPr>
                <w:rFonts w:ascii="Arial" w:hAnsi="Arial" w:eastAsia="Arial"/>
                <w:b w:val="0"/>
                <w:i w:val="0"/>
                <w:color w:val="2A3140"/>
                <w:sz w:val="17"/>
              </w:rPr>
              <w:t>4,653.0</w:t>
            </w:r>
          </w:p>
        </w:tc>
        <w:tc>
          <w:tcPr>
            <w:tcW w:type="dxa" w:w="1080"/>
          </w:tcPr>
          <w:p>
            <w:pPr>
              <w:jc w:val="right"/>
            </w:pPr>
            <w:r/>
            <w:r>
              <w:rPr>
                <w:rFonts w:ascii="Arial" w:hAnsi="Arial" w:eastAsia="Arial"/>
                <w:b w:val="0"/>
                <w:i w:val="0"/>
                <w:color w:val="2A3140"/>
                <w:sz w:val="17"/>
              </w:rPr>
              <w:t>7,590.0</w:t>
            </w:r>
          </w:p>
        </w:tc>
      </w:tr>
      <w:tr>
        <w:tc>
          <w:tcPr>
            <w:tcW w:type="dxa" w:w="2880"/>
          </w:tcPr>
          <w:p>
            <w:r/>
            <w:r>
              <w:rPr>
                <w:rFonts w:ascii="Arial" w:hAnsi="Arial" w:eastAsia="Arial"/>
                <w:b w:val="0"/>
                <w:i w:val="0"/>
                <w:color w:val="2A3140"/>
                <w:sz w:val="17"/>
              </w:rPr>
              <w:t>Operating income (loss)</w:t>
            </w:r>
          </w:p>
        </w:tc>
        <w:tc>
          <w:tcPr>
            <w:tcW w:type="dxa" w:w="1080"/>
          </w:tcPr>
          <w:p>
            <w:pPr>
              <w:jc w:val="right"/>
            </w:pPr>
            <w:r/>
            <w:r>
              <w:rPr>
                <w:rFonts w:ascii="Arial" w:hAnsi="Arial" w:eastAsia="Arial"/>
                <w:b w:val="0"/>
                <w:i w:val="0"/>
                <w:color w:val="2A3140"/>
                <w:sz w:val="17"/>
              </w:rPr>
              <w:t>(14.5)</w:t>
            </w:r>
          </w:p>
        </w:tc>
        <w:tc>
          <w:tcPr>
            <w:tcW w:type="dxa" w:w="1080"/>
          </w:tcPr>
          <w:p>
            <w:pPr>
              <w:jc w:val="right"/>
            </w:pPr>
            <w:r/>
            <w:r>
              <w:rPr>
                <w:rFonts w:ascii="Arial" w:hAnsi="Arial" w:eastAsia="Arial"/>
                <w:b w:val="0"/>
                <w:i w:val="0"/>
                <w:color w:val="2A3140"/>
                <w:sz w:val="17"/>
              </w:rPr>
              <w:t>324.4</w:t>
            </w:r>
          </w:p>
        </w:tc>
        <w:tc>
          <w:tcPr>
            <w:tcW w:type="dxa" w:w="1080"/>
          </w:tcPr>
          <w:p>
            <w:pPr>
              <w:jc w:val="right"/>
            </w:pPr>
            <w:r/>
            <w:r>
              <w:rPr>
                <w:rFonts w:ascii="Arial" w:hAnsi="Arial" w:eastAsia="Arial"/>
                <w:b w:val="0"/>
                <w:i w:val="0"/>
                <w:color w:val="2A3140"/>
                <w:sz w:val="17"/>
              </w:rPr>
              <w:t>(46.0)</w:t>
            </w:r>
          </w:p>
        </w:tc>
        <w:tc>
          <w:tcPr>
            <w:tcW w:type="dxa" w:w="1080"/>
          </w:tcPr>
          <w:p>
            <w:pPr>
              <w:jc w:val="right"/>
            </w:pPr>
            <w:r/>
            <w:r>
              <w:rPr>
                <w:rFonts w:ascii="Arial" w:hAnsi="Arial" w:eastAsia="Arial"/>
                <w:b w:val="0"/>
                <w:i w:val="0"/>
                <w:color w:val="2A3140"/>
                <w:sz w:val="17"/>
              </w:rPr>
              <w:t>(8.0)</w:t>
            </w:r>
          </w:p>
        </w:tc>
        <w:tc>
          <w:tcPr>
            <w:tcW w:type="dxa" w:w="1080"/>
          </w:tcPr>
          <w:p>
            <w:pPr>
              <w:jc w:val="right"/>
            </w:pPr>
            <w:r/>
            <w:r>
              <w:rPr>
                <w:rFonts w:ascii="Arial" w:hAnsi="Arial" w:eastAsia="Arial"/>
                <w:b w:val="0"/>
                <w:i w:val="0"/>
                <w:color w:val="2A3140"/>
                <w:sz w:val="17"/>
              </w:rPr>
              <w:t>(193.0)</w:t>
            </w:r>
          </w:p>
        </w:tc>
        <w:tc>
          <w:tcPr>
            <w:tcW w:type="dxa" w:w="1080"/>
          </w:tcPr>
          <w:p>
            <w:pPr>
              <w:jc w:val="right"/>
            </w:pPr>
            <w:r/>
            <w:r>
              <w:rPr>
                <w:rFonts w:ascii="Arial" w:hAnsi="Arial" w:eastAsia="Arial"/>
                <w:b w:val="0"/>
                <w:i w:val="0"/>
                <w:color w:val="2A3140"/>
                <w:sz w:val="17"/>
              </w:rPr>
              <w:t>(231.0)</w:t>
            </w:r>
          </w:p>
        </w:tc>
      </w:tr>
      <w:tr>
        <w:tc>
          <w:tcPr>
            <w:tcW w:type="dxa" w:w="2880"/>
          </w:tcPr>
          <w:p>
            <w:r/>
            <w:r>
              <w:rPr>
                <w:rFonts w:ascii="Arial" w:hAnsi="Arial" w:eastAsia="Arial"/>
                <w:b w:val="0"/>
                <w:i w:val="0"/>
                <w:color w:val="2A3140"/>
                <w:sz w:val="17"/>
              </w:rPr>
              <w:t>Interest expense, net</w:t>
            </w:r>
          </w:p>
        </w:tc>
        <w:tc>
          <w:tcPr>
            <w:tcW w:type="dxa" w:w="1080"/>
          </w:tcPr>
          <w:p>
            <w:pPr>
              <w:jc w:val="right"/>
            </w:pPr>
            <w:r/>
            <w:r>
              <w:rPr>
                <w:rFonts w:ascii="Arial" w:hAnsi="Arial" w:eastAsia="Arial"/>
                <w:b w:val="0"/>
                <w:i w:val="0"/>
                <w:color w:val="2A3140"/>
                <w:sz w:val="17"/>
              </w:rPr>
              <w:t>28.4</w:t>
            </w:r>
          </w:p>
        </w:tc>
        <w:tc>
          <w:tcPr>
            <w:tcW w:type="dxa" w:w="1080"/>
          </w:tcPr>
          <w:p>
            <w:pPr>
              <w:jc w:val="right"/>
            </w:pPr>
            <w:r/>
            <w:r>
              <w:rPr>
                <w:rFonts w:ascii="Arial" w:hAnsi="Arial" w:eastAsia="Arial"/>
                <w:b w:val="0"/>
                <w:i w:val="0"/>
                <w:color w:val="2A3140"/>
                <w:sz w:val="17"/>
              </w:rPr>
              <w:t>360.8</w:t>
            </w:r>
          </w:p>
        </w:tc>
        <w:tc>
          <w:tcPr>
            <w:tcW w:type="dxa" w:w="1080"/>
          </w:tcPr>
          <w:p>
            <w:pPr>
              <w:jc w:val="right"/>
            </w:pPr>
            <w:r/>
            <w:r>
              <w:rPr>
                <w:rFonts w:ascii="Arial" w:hAnsi="Arial" w:eastAsia="Arial"/>
                <w:b w:val="0"/>
                <w:i w:val="0"/>
                <w:color w:val="2A3140"/>
                <w:sz w:val="17"/>
              </w:rPr>
              <w:t>1,229.0</w:t>
            </w:r>
          </w:p>
        </w:tc>
        <w:tc>
          <w:tcPr>
            <w:tcW w:type="dxa" w:w="1080"/>
          </w:tcPr>
          <w:p>
            <w:pPr>
              <w:jc w:val="right"/>
            </w:pPr>
            <w:r/>
            <w:r>
              <w:rPr>
                <w:rFonts w:ascii="Arial" w:hAnsi="Arial" w:eastAsia="Arial"/>
                <w:b w:val="0"/>
                <w:i w:val="0"/>
                <w:color w:val="2A3140"/>
                <w:sz w:val="17"/>
              </w:rPr>
              <w:t>531.0</w:t>
            </w:r>
          </w:p>
        </w:tc>
        <w:tc>
          <w:tcPr>
            <w:tcW w:type="dxa" w:w="1080"/>
          </w:tcPr>
          <w:p>
            <w:pPr>
              <w:jc w:val="right"/>
            </w:pPr>
            <w:r/>
            <w:r>
              <w:rPr>
                <w:rFonts w:ascii="Arial" w:hAnsi="Arial" w:eastAsia="Arial"/>
                <w:b w:val="0"/>
                <w:i w:val="0"/>
                <w:color w:val="2A3140"/>
                <w:sz w:val="17"/>
              </w:rPr>
              <w:t>1,176.0</w:t>
            </w:r>
          </w:p>
        </w:tc>
        <w:tc>
          <w:tcPr>
            <w:tcW w:type="dxa" w:w="1080"/>
          </w:tcPr>
          <w:p>
            <w:pPr>
              <w:jc w:val="right"/>
            </w:pPr>
            <w:r/>
            <w:r>
              <w:rPr>
                <w:rFonts w:ascii="Arial" w:hAnsi="Arial" w:eastAsia="Arial"/>
                <w:b w:val="0"/>
                <w:i w:val="0"/>
                <w:color w:val="2A3140"/>
                <w:sz w:val="17"/>
              </w:rPr>
              <w:t>1,874.0</w:t>
            </w:r>
          </w:p>
        </w:tc>
      </w:tr>
      <w:tr>
        <w:tc>
          <w:tcPr>
            <w:tcW w:type="dxa" w:w="2880"/>
          </w:tcPr>
          <w:p>
            <w:r/>
            <w:r>
              <w:rPr>
                <w:rFonts w:ascii="Arial" w:hAnsi="Arial" w:eastAsia="Arial"/>
                <w:b w:val="0"/>
                <w:i w:val="0"/>
                <w:color w:val="2A3140"/>
                <w:sz w:val="17"/>
              </w:rPr>
              <w:t>Net loss</w:t>
            </w:r>
          </w:p>
        </w:tc>
        <w:tc>
          <w:tcPr>
            <w:tcW w:type="dxa" w:w="1080"/>
          </w:tcPr>
          <w:p>
            <w:pPr>
              <w:jc w:val="right"/>
            </w:pPr>
            <w:r/>
            <w:r>
              <w:rPr>
                <w:rFonts w:ascii="Arial" w:hAnsi="Arial" w:eastAsia="Arial"/>
                <w:b w:val="0"/>
                <w:i w:val="0"/>
                <w:color w:val="2A3140"/>
                <w:sz w:val="17"/>
              </w:rPr>
              <w:t>(593.7)</w:t>
            </w:r>
          </w:p>
        </w:tc>
        <w:tc>
          <w:tcPr>
            <w:tcW w:type="dxa" w:w="1080"/>
          </w:tcPr>
          <w:p>
            <w:pPr>
              <w:jc w:val="right"/>
            </w:pPr>
            <w:r/>
            <w:r>
              <w:rPr>
                <w:rFonts w:ascii="Arial" w:hAnsi="Arial" w:eastAsia="Arial"/>
                <w:b w:val="0"/>
                <w:i w:val="0"/>
                <w:color w:val="2A3140"/>
                <w:sz w:val="17"/>
              </w:rPr>
              <w:t>(863.4)</w:t>
            </w:r>
          </w:p>
        </w:tc>
        <w:tc>
          <w:tcPr>
            <w:tcW w:type="dxa" w:w="1080"/>
          </w:tcPr>
          <w:p>
            <w:pPr>
              <w:jc w:val="right"/>
            </w:pPr>
            <w:r/>
            <w:r>
              <w:rPr>
                <w:rFonts w:ascii="Arial" w:hAnsi="Arial" w:eastAsia="Arial"/>
                <w:b w:val="0"/>
                <w:i w:val="0"/>
                <w:color w:val="2A3140"/>
                <w:sz w:val="17"/>
              </w:rPr>
              <w:t>(1,167.0)</w:t>
            </w:r>
          </w:p>
        </w:tc>
        <w:tc>
          <w:tcPr>
            <w:tcW w:type="dxa" w:w="1080"/>
          </w:tcPr>
          <w:p>
            <w:pPr>
              <w:jc w:val="right"/>
            </w:pPr>
            <w:r/>
            <w:r>
              <w:rPr>
                <w:rFonts w:ascii="Arial" w:hAnsi="Arial" w:eastAsia="Arial"/>
                <w:b w:val="0"/>
                <w:i w:val="0"/>
                <w:color w:val="2A3140"/>
                <w:sz w:val="17"/>
              </w:rPr>
              <w:t>(605.0)</w:t>
            </w:r>
          </w:p>
        </w:tc>
        <w:tc>
          <w:tcPr>
            <w:tcW w:type="dxa" w:w="1080"/>
          </w:tcPr>
          <w:p>
            <w:pPr>
              <w:jc w:val="right"/>
            </w:pPr>
            <w:r/>
            <w:r>
              <w:rPr>
                <w:rFonts w:ascii="Arial" w:hAnsi="Arial" w:eastAsia="Arial"/>
                <w:b w:val="0"/>
                <w:i w:val="0"/>
                <w:color w:val="2A3140"/>
                <w:sz w:val="17"/>
              </w:rPr>
              <w:t>(1,366.0)</w:t>
            </w:r>
          </w:p>
        </w:tc>
        <w:tc>
          <w:tcPr>
            <w:tcW w:type="dxa" w:w="1080"/>
          </w:tcPr>
          <w:p>
            <w:pPr>
              <w:jc w:val="right"/>
            </w:pPr>
            <w:r/>
            <w:r>
              <w:rPr>
                <w:rFonts w:ascii="Arial" w:hAnsi="Arial" w:eastAsia="Arial"/>
                <w:b w:val="0"/>
                <w:i w:val="0"/>
                <w:color w:val="2A3140"/>
                <w:sz w:val="17"/>
              </w:rPr>
              <w:t>(1,928.0)</w:t>
            </w:r>
          </w:p>
        </w:tc>
      </w:tr>
      <w:tr>
        <w:tc>
          <w:tcPr>
            <w:tcW w:type="dxa" w:w="2880"/>
          </w:tcPr>
          <w:p>
            <w:r/>
            <w:r>
              <w:rPr>
                <w:rFonts w:ascii="Arial" w:hAnsi="Arial" w:eastAsia="Arial"/>
                <w:b w:val="0"/>
                <w:i w:val="0"/>
                <w:color w:val="2A3140"/>
                <w:sz w:val="17"/>
              </w:rPr>
              <w:t>Adjusted EBITDA (company definition)</w:t>
            </w:r>
          </w:p>
        </w:tc>
        <w:tc>
          <w:tcPr>
            <w:tcW w:type="dxa" w:w="1080"/>
          </w:tcPr>
          <w:p>
            <w:pPr>
              <w:jc w:val="right"/>
            </w:pPr>
            <w:r/>
            <w:r>
              <w:rPr>
                <w:rFonts w:ascii="Arial" w:hAnsi="Arial" w:eastAsia="Arial"/>
                <w:b w:val="0"/>
                <w:i w:val="0"/>
                <w:color w:val="2A3140"/>
                <w:sz w:val="17"/>
              </w:rPr>
              <w:t>103.9</w:t>
            </w:r>
          </w:p>
        </w:tc>
        <w:tc>
          <w:tcPr>
            <w:tcW w:type="dxa" w:w="1080"/>
          </w:tcPr>
          <w:p>
            <w:pPr>
              <w:jc w:val="right"/>
            </w:pPr>
            <w:r/>
            <w:r>
              <w:rPr>
                <w:rFonts w:ascii="Arial" w:hAnsi="Arial" w:eastAsia="Arial"/>
                <w:b w:val="0"/>
                <w:i w:val="0"/>
                <w:color w:val="2A3140"/>
                <w:sz w:val="17"/>
              </w:rPr>
              <w:t>1,219.3</w:t>
            </w:r>
          </w:p>
        </w:tc>
        <w:tc>
          <w:tcPr>
            <w:tcW w:type="dxa" w:w="1080"/>
          </w:tcPr>
          <w:p>
            <w:pPr>
              <w:jc w:val="right"/>
            </w:pPr>
            <w:r/>
            <w:r>
              <w:rPr>
                <w:rFonts w:ascii="Arial" w:hAnsi="Arial" w:eastAsia="Arial"/>
                <w:b w:val="0"/>
                <w:i w:val="0"/>
                <w:color w:val="2A3140"/>
                <w:sz w:val="17"/>
              </w:rPr>
              <w:t>3,093.0</w:t>
            </w:r>
          </w:p>
        </w:tc>
        <w:tc>
          <w:tcPr>
            <w:tcW w:type="dxa" w:w="1080"/>
          </w:tcPr>
          <w:p>
            <w:pPr>
              <w:jc w:val="right"/>
            </w:pPr>
            <w:r/>
            <w:r>
              <w:rPr>
                <w:rFonts w:ascii="Arial" w:hAnsi="Arial" w:eastAsia="Arial"/>
                <w:b w:val="0"/>
                <w:i w:val="0"/>
                <w:color w:val="2A3140"/>
                <w:sz w:val="17"/>
              </w:rPr>
              <w:t>1,360.0</w:t>
            </w:r>
          </w:p>
        </w:tc>
        <w:tc>
          <w:tcPr>
            <w:tcW w:type="dxa" w:w="1080"/>
          </w:tcPr>
          <w:p>
            <w:pPr>
              <w:jc w:val="right"/>
            </w:pPr>
            <w:r/>
            <w:r>
              <w:rPr>
                <w:rFonts w:ascii="Arial" w:hAnsi="Arial" w:eastAsia="Arial"/>
                <w:b w:val="0"/>
                <w:i w:val="0"/>
                <w:color w:val="2A3140"/>
                <w:sz w:val="17"/>
              </w:rPr>
              <w:t>2,667.0</w:t>
            </w:r>
          </w:p>
        </w:tc>
        <w:tc>
          <w:tcPr>
            <w:tcW w:type="dxa" w:w="1080"/>
          </w:tcPr>
          <w:p>
            <w:pPr>
              <w:jc w:val="right"/>
            </w:pPr>
            <w:r/>
            <w:r>
              <w:rPr>
                <w:rFonts w:ascii="Arial" w:hAnsi="Arial" w:eastAsia="Arial"/>
                <w:b w:val="0"/>
                <w:i w:val="0"/>
                <w:color w:val="2A3140"/>
                <w:sz w:val="17"/>
              </w:rPr>
              <w:t>4,400.0</w:t>
            </w:r>
          </w:p>
        </w:tc>
      </w:tr>
      <w:tr>
        <w:tc>
          <w:tcPr>
            <w:tcW w:type="dxa" w:w="2880"/>
          </w:tcPr>
          <w:p>
            <w:r/>
            <w:r>
              <w:rPr>
                <w:rFonts w:ascii="Arial" w:hAnsi="Arial" w:eastAsia="Arial"/>
                <w:b w:val="0"/>
                <w:i w:val="0"/>
                <w:color w:val="2A3140"/>
                <w:sz w:val="17"/>
              </w:rPr>
              <w:t>Adjusted EBITDA margin</w:t>
            </w:r>
          </w:p>
        </w:tc>
        <w:tc>
          <w:tcPr>
            <w:tcW w:type="dxa" w:w="1080"/>
          </w:tcPr>
          <w:p>
            <w:pPr>
              <w:jc w:val="right"/>
            </w:pPr>
            <w:r/>
            <w:r>
              <w:rPr>
                <w:rFonts w:ascii="Arial" w:hAnsi="Arial" w:eastAsia="Arial"/>
                <w:b w:val="0"/>
                <w:i w:val="0"/>
                <w:color w:val="2A3140"/>
                <w:sz w:val="17"/>
              </w:rPr>
              <w:t>45.4%</w:t>
            </w:r>
          </w:p>
        </w:tc>
        <w:tc>
          <w:tcPr>
            <w:tcW w:type="dxa" w:w="1080"/>
          </w:tcPr>
          <w:p>
            <w:pPr>
              <w:jc w:val="right"/>
            </w:pPr>
            <w:r/>
            <w:r>
              <w:rPr>
                <w:rFonts w:ascii="Arial" w:hAnsi="Arial" w:eastAsia="Arial"/>
                <w:b w:val="0"/>
                <w:i w:val="0"/>
                <w:color w:val="2A3140"/>
                <w:sz w:val="17"/>
              </w:rPr>
              <w:t>63.7%</w:t>
            </w:r>
          </w:p>
        </w:tc>
        <w:tc>
          <w:tcPr>
            <w:tcW w:type="dxa" w:w="1080"/>
          </w:tcPr>
          <w:p>
            <w:pPr>
              <w:jc w:val="right"/>
            </w:pPr>
            <w:r/>
            <w:r>
              <w:rPr>
                <w:rFonts w:ascii="Arial" w:hAnsi="Arial" w:eastAsia="Arial"/>
                <w:b w:val="0"/>
                <w:i w:val="0"/>
                <w:color w:val="2A3140"/>
                <w:sz w:val="17"/>
              </w:rPr>
              <w:t>60.3%</w:t>
            </w:r>
          </w:p>
        </w:tc>
        <w:tc>
          <w:tcPr>
            <w:tcW w:type="dxa" w:w="1080"/>
          </w:tcPr>
          <w:p>
            <w:pPr>
              <w:jc w:val="right"/>
            </w:pPr>
            <w:r/>
            <w:r>
              <w:rPr>
                <w:rFonts w:ascii="Arial" w:hAnsi="Arial" w:eastAsia="Arial"/>
                <w:b w:val="0"/>
                <w:i w:val="0"/>
                <w:color w:val="2A3140"/>
                <w:sz w:val="17"/>
              </w:rPr>
              <w:t>62.0%</w:t>
            </w:r>
          </w:p>
        </w:tc>
        <w:tc>
          <w:tcPr>
            <w:tcW w:type="dxa" w:w="1080"/>
          </w:tcPr>
          <w:p>
            <w:pPr>
              <w:jc w:val="right"/>
            </w:pPr>
            <w:r/>
            <w:r>
              <w:rPr>
                <w:rFonts w:ascii="Arial" w:hAnsi="Arial" w:eastAsia="Arial"/>
                <w:b w:val="0"/>
                <w:i w:val="0"/>
                <w:color w:val="2A3140"/>
                <w:sz w:val="17"/>
              </w:rPr>
              <w:t>57.3%</w:t>
            </w:r>
          </w:p>
        </w:tc>
        <w:tc>
          <w:tcPr>
            <w:tcW w:type="dxa" w:w="1080"/>
          </w:tcPr>
          <w:p>
            <w:pPr>
              <w:jc w:val="right"/>
            </w:pPr>
            <w:r/>
            <w:r>
              <w:rPr>
                <w:rFonts w:ascii="Arial" w:hAnsi="Arial" w:eastAsia="Arial"/>
                <w:b w:val="0"/>
                <w:i w:val="0"/>
                <w:color w:val="2A3140"/>
                <w:sz w:val="17"/>
              </w:rPr>
              <w:t>58.0%</w:t>
            </w:r>
          </w:p>
        </w:tc>
      </w:tr>
      <w:tr>
        <w:tc>
          <w:tcPr>
            <w:tcW w:type="dxa" w:w="2880"/>
          </w:tcPr>
          <w:p>
            <w:r/>
            <w:r>
              <w:rPr>
                <w:rFonts w:ascii="Arial" w:hAnsi="Arial" w:eastAsia="Arial"/>
                <w:b w:val="0"/>
                <w:i w:val="0"/>
                <w:color w:val="2A3140"/>
                <w:sz w:val="17"/>
              </w:rPr>
              <w:t>Depreciation and amortization</w:t>
            </w:r>
          </w:p>
        </w:tc>
        <w:tc>
          <w:tcPr>
            <w:tcW w:type="dxa" w:w="1080"/>
          </w:tcPr>
          <w:p>
            <w:pPr>
              <w:jc w:val="right"/>
            </w:pPr>
            <w:r/>
            <w:r>
              <w:rPr>
                <w:rFonts w:ascii="Arial" w:hAnsi="Arial" w:eastAsia="Arial"/>
                <w:b w:val="0"/>
                <w:i w:val="0"/>
                <w:color w:val="2A3140"/>
                <w:sz w:val="17"/>
              </w:rPr>
              <w:t>103.2</w:t>
            </w:r>
          </w:p>
        </w:tc>
        <w:tc>
          <w:tcPr>
            <w:tcW w:type="dxa" w:w="1080"/>
          </w:tcPr>
          <w:p>
            <w:pPr>
              <w:jc w:val="right"/>
            </w:pPr>
            <w:r/>
            <w:r>
              <w:rPr>
                <w:rFonts w:ascii="Arial" w:hAnsi="Arial" w:eastAsia="Arial"/>
                <w:b w:val="0"/>
                <w:i w:val="0"/>
                <w:color w:val="2A3140"/>
                <w:sz w:val="17"/>
              </w:rPr>
              <w:t>863.4</w:t>
            </w:r>
          </w:p>
        </w:tc>
        <w:tc>
          <w:tcPr>
            <w:tcW w:type="dxa" w:w="1080"/>
          </w:tcPr>
          <w:p>
            <w:pPr>
              <w:jc w:val="right"/>
            </w:pPr>
            <w:r/>
            <w:r>
              <w:rPr>
                <w:rFonts w:ascii="Arial" w:hAnsi="Arial" w:eastAsia="Arial"/>
                <w:b w:val="0"/>
                <w:i w:val="0"/>
                <w:color w:val="2A3140"/>
                <w:sz w:val="17"/>
              </w:rPr>
              <w:t>2,454.0</w:t>
            </w:r>
          </w:p>
        </w:tc>
        <w:tc>
          <w:tcPr>
            <w:tcW w:type="dxa" w:w="1080"/>
          </w:tcPr>
          <w:p>
            <w:pPr>
              <w:jc w:val="right"/>
            </w:pPr>
            <w:r/>
            <w:r>
              <w:rPr>
                <w:rFonts w:ascii="Arial" w:hAnsi="Arial" w:eastAsia="Arial"/>
                <w:b w:val="0"/>
                <w:i w:val="0"/>
                <w:color w:val="2A3140"/>
                <w:sz w:val="17"/>
              </w:rPr>
              <w:t>1,003.0</w:t>
            </w:r>
          </w:p>
        </w:tc>
        <w:tc>
          <w:tcPr>
            <w:tcW w:type="dxa" w:w="1080"/>
          </w:tcPr>
          <w:p>
            <w:pPr>
              <w:jc w:val="right"/>
            </w:pPr>
            <w:r/>
            <w:r>
              <w:rPr>
                <w:rFonts w:ascii="Arial" w:hAnsi="Arial" w:eastAsia="Arial"/>
                <w:b w:val="0"/>
                <w:i w:val="0"/>
                <w:color w:val="2A3140"/>
                <w:sz w:val="17"/>
              </w:rPr>
              <w:t>2,540.0</w:t>
            </w:r>
          </w:p>
        </w:tc>
        <w:tc>
          <w:tcPr>
            <w:tcW w:type="dxa" w:w="1080"/>
          </w:tcPr>
          <w:p>
            <w:pPr>
              <w:jc w:val="right"/>
            </w:pPr>
            <w:r/>
            <w:r>
              <w:rPr>
                <w:rFonts w:ascii="Arial" w:hAnsi="Arial" w:eastAsia="Arial"/>
                <w:b w:val="0"/>
                <w:i w:val="0"/>
                <w:color w:val="2A3140"/>
                <w:sz w:val="17"/>
              </w:rPr>
              <w:t>3,991.0</w:t>
            </w:r>
          </w:p>
        </w:tc>
      </w:tr>
      <w:tr>
        <w:tc>
          <w:tcPr>
            <w:tcW w:type="dxa" w:w="2880"/>
          </w:tcPr>
          <w:p>
            <w:r/>
            <w:r>
              <w:rPr>
                <w:rFonts w:ascii="Arial" w:hAnsi="Arial" w:eastAsia="Arial"/>
                <w:b w:val="0"/>
                <w:i w:val="0"/>
                <w:color w:val="2A3140"/>
                <w:sz w:val="17"/>
              </w:rPr>
              <w:t>Stock-based compensation</w:t>
            </w:r>
          </w:p>
        </w:tc>
        <w:tc>
          <w:tcPr>
            <w:tcW w:type="dxa" w:w="1080"/>
          </w:tcPr>
          <w:p>
            <w:pPr>
              <w:jc w:val="right"/>
            </w:pPr>
            <w:r/>
            <w:r>
              <w:rPr>
                <w:rFonts w:ascii="Arial" w:hAnsi="Arial" w:eastAsia="Arial"/>
                <w:b w:val="0"/>
                <w:i w:val="0"/>
                <w:color w:val="2A3140"/>
                <w:sz w:val="17"/>
              </w:rPr>
              <w:t>15.2</w:t>
            </w:r>
          </w:p>
        </w:tc>
        <w:tc>
          <w:tcPr>
            <w:tcW w:type="dxa" w:w="1080"/>
          </w:tcPr>
          <w:p>
            <w:pPr>
              <w:jc w:val="right"/>
            </w:pPr>
            <w:r/>
            <w:r>
              <w:rPr>
                <w:rFonts w:ascii="Arial" w:hAnsi="Arial" w:eastAsia="Arial"/>
                <w:b w:val="0"/>
                <w:i w:val="0"/>
                <w:color w:val="2A3140"/>
                <w:sz w:val="17"/>
              </w:rPr>
              <w:t>31.5</w:t>
            </w:r>
          </w:p>
        </w:tc>
        <w:tc>
          <w:tcPr>
            <w:tcW w:type="dxa" w:w="1080"/>
          </w:tcPr>
          <w:p>
            <w:pPr>
              <w:jc w:val="right"/>
            </w:pPr>
            <w:r/>
            <w:r>
              <w:rPr>
                <w:rFonts w:ascii="Arial" w:hAnsi="Arial" w:eastAsia="Arial"/>
                <w:b w:val="0"/>
                <w:i w:val="0"/>
                <w:color w:val="2A3140"/>
                <w:sz w:val="17"/>
              </w:rPr>
              <w:t>630.0</w:t>
            </w:r>
          </w:p>
        </w:tc>
        <w:tc>
          <w:tcPr>
            <w:tcW w:type="dxa" w:w="1080"/>
          </w:tcPr>
          <w:p>
            <w:pPr>
              <w:jc w:val="right"/>
            </w:pPr>
            <w:r/>
            <w:r>
              <w:rPr>
                <w:rFonts w:ascii="Arial" w:hAnsi="Arial" w:eastAsia="Arial"/>
                <w:b w:val="0"/>
                <w:i w:val="0"/>
                <w:color w:val="2A3140"/>
                <w:sz w:val="17"/>
              </w:rPr>
              <w:t>329.0</w:t>
            </w:r>
          </w:p>
        </w:tc>
        <w:tc>
          <w:tcPr>
            <w:tcW w:type="dxa" w:w="1080"/>
          </w:tcPr>
          <w:p>
            <w:pPr>
              <w:jc w:val="right"/>
            </w:pPr>
            <w:r/>
            <w:r>
              <w:rPr>
                <w:rFonts w:ascii="Arial" w:hAnsi="Arial" w:eastAsia="Arial"/>
                <w:b w:val="0"/>
                <w:i w:val="0"/>
                <w:color w:val="2A3140"/>
                <w:sz w:val="17"/>
              </w:rPr>
              <w:t>318.0</w:t>
            </w:r>
          </w:p>
        </w:tc>
        <w:tc>
          <w:tcPr>
            <w:tcW w:type="dxa" w:w="1080"/>
          </w:tcPr>
          <w:p>
            <w:pPr>
              <w:jc w:val="right"/>
            </w:pPr>
            <w:r/>
            <w:r>
              <w:rPr>
                <w:rFonts w:ascii="Arial" w:hAnsi="Arial" w:eastAsia="Arial"/>
                <w:b w:val="0"/>
                <w:i w:val="0"/>
                <w:color w:val="2A3140"/>
                <w:sz w:val="17"/>
              </w:rPr>
              <w:t>619.0</w:t>
            </w:r>
          </w:p>
        </w:tc>
      </w:tr>
      <w:tr>
        <w:tc>
          <w:tcPr>
            <w:tcW w:type="dxa" w:w="2880"/>
          </w:tcPr>
          <w:p>
            <w:r/>
            <w:r>
              <w:rPr>
                <w:rFonts w:ascii="Arial" w:hAnsi="Arial" w:eastAsia="Arial"/>
                <w:b w:val="0"/>
                <w:i w:val="0"/>
                <w:color w:val="2A3140"/>
                <w:sz w:val="17"/>
              </w:rPr>
              <w:t>Net cash from operating activities</w:t>
            </w:r>
          </w:p>
        </w:tc>
        <w:tc>
          <w:tcPr>
            <w:tcW w:type="dxa" w:w="1080"/>
          </w:tcPr>
          <w:p>
            <w:pPr>
              <w:jc w:val="right"/>
            </w:pPr>
            <w:r/>
            <w:r>
              <w:rPr>
                <w:rFonts w:ascii="Arial" w:hAnsi="Arial" w:eastAsia="Arial"/>
                <w:b w:val="0"/>
                <w:i w:val="0"/>
                <w:color w:val="2A3140"/>
                <w:sz w:val="17"/>
              </w:rPr>
              <w:t>1,833.0</w:t>
            </w:r>
          </w:p>
        </w:tc>
        <w:tc>
          <w:tcPr>
            <w:tcW w:type="dxa" w:w="1080"/>
          </w:tcPr>
          <w:p>
            <w:pPr>
              <w:jc w:val="right"/>
            </w:pPr>
            <w:r/>
            <w:r>
              <w:rPr>
                <w:rFonts w:ascii="Arial" w:hAnsi="Arial" w:eastAsia="Arial"/>
                <w:b w:val="0"/>
                <w:i w:val="0"/>
                <w:color w:val="2A3140"/>
                <w:sz w:val="17"/>
              </w:rPr>
              <w:t>2,749.0</w:t>
            </w:r>
          </w:p>
        </w:tc>
        <w:tc>
          <w:tcPr>
            <w:tcW w:type="dxa" w:w="1080"/>
          </w:tcPr>
          <w:p>
            <w:pPr>
              <w:jc w:val="right"/>
            </w:pPr>
            <w:r/>
            <w:r>
              <w:rPr>
                <w:rFonts w:ascii="Arial" w:hAnsi="Arial" w:eastAsia="Arial"/>
                <w:b w:val="0"/>
                <w:i w:val="0"/>
                <w:color w:val="2A3140"/>
                <w:sz w:val="17"/>
              </w:rPr>
              <w:t>3,058.0</w:t>
            </w:r>
          </w:p>
        </w:tc>
        <w:tc>
          <w:tcPr>
            <w:tcW w:type="dxa" w:w="1080"/>
          </w:tcPr>
          <w:p>
            <w:pPr>
              <w:jc w:val="right"/>
            </w:pPr>
            <w:r/>
            <w:r>
              <w:rPr>
                <w:rFonts w:ascii="Arial" w:hAnsi="Arial" w:eastAsia="Arial"/>
                <w:b w:val="0"/>
                <w:i w:val="0"/>
                <w:color w:val="2A3140"/>
                <w:sz w:val="17"/>
              </w:rPr>
              <w:t>(190.0)</w:t>
            </w:r>
          </w:p>
        </w:tc>
        <w:tc>
          <w:tcPr>
            <w:tcW w:type="dxa" w:w="1080"/>
          </w:tcPr>
          <w:p>
            <w:pPr>
              <w:jc w:val="right"/>
            </w:pPr>
            <w:r/>
            <w:r>
              <w:rPr>
                <w:rFonts w:ascii="Arial" w:hAnsi="Arial" w:eastAsia="Arial"/>
                <w:b w:val="0"/>
                <w:i w:val="0"/>
                <w:color w:val="2A3140"/>
                <w:sz w:val="17"/>
              </w:rPr>
              <w:t>3,663.0</w:t>
            </w:r>
          </w:p>
        </w:tc>
        <w:tc>
          <w:tcPr>
            <w:tcW w:type="dxa" w:w="1080"/>
          </w:tcPr>
          <w:p>
            <w:pPr>
              <w:jc w:val="right"/>
            </w:pPr>
            <w:r/>
            <w:r>
              <w:rPr>
                <w:rFonts w:ascii="Arial" w:hAnsi="Arial" w:eastAsia="Arial"/>
                <w:b w:val="0"/>
                <w:i w:val="0"/>
                <w:color w:val="2A3140"/>
                <w:sz w:val="17"/>
              </w:rPr>
              <w:t>6,911.0</w:t>
            </w:r>
          </w:p>
        </w:tc>
      </w:tr>
      <w:tr>
        <w:tc>
          <w:tcPr>
            <w:tcW w:type="dxa" w:w="2880"/>
          </w:tcPr>
          <w:p>
            <w:r/>
            <w:r>
              <w:rPr>
                <w:rFonts w:ascii="Arial" w:hAnsi="Arial" w:eastAsia="Arial"/>
                <w:b w:val="0"/>
                <w:i w:val="0"/>
                <w:color w:val="2A3140"/>
                <w:sz w:val="17"/>
              </w:rPr>
              <w:t>of which: change in deferred revenue</w:t>
            </w:r>
          </w:p>
        </w:tc>
        <w:tc>
          <w:tcPr>
            <w:tcW w:type="dxa" w:w="1080"/>
          </w:tcPr>
          <w:p>
            <w:pPr>
              <w:jc w:val="right"/>
            </w:pPr>
            <w:r/>
            <w:r>
              <w:rPr>
                <w:rFonts w:ascii="Arial" w:hAnsi="Arial" w:eastAsia="Arial"/>
                <w:b w:val="0"/>
                <w:i w:val="0"/>
                <w:color w:val="2A3140"/>
                <w:sz w:val="17"/>
              </w:rPr>
              <w:t>1,986.0</w:t>
            </w:r>
          </w:p>
        </w:tc>
        <w:tc>
          <w:tcPr>
            <w:tcW w:type="dxa" w:w="1080"/>
          </w:tcPr>
          <w:p>
            <w:pPr>
              <w:jc w:val="right"/>
            </w:pPr>
            <w:r/>
            <w:r>
              <w:rPr>
                <w:rFonts w:ascii="Arial" w:hAnsi="Arial" w:eastAsia="Arial"/>
                <w:b w:val="0"/>
                <w:i w:val="0"/>
                <w:color w:val="2A3140"/>
                <w:sz w:val="17"/>
              </w:rPr>
              <w:t>2,049.0</w:t>
            </w:r>
          </w:p>
        </w:tc>
        <w:tc>
          <w:tcPr>
            <w:tcW w:type="dxa" w:w="1080"/>
          </w:tcPr>
          <w:p>
            <w:pPr>
              <w:jc w:val="right"/>
            </w:pPr>
            <w:r/>
            <w:r>
              <w:rPr>
                <w:rFonts w:ascii="Arial" w:hAnsi="Arial" w:eastAsia="Arial"/>
                <w:b w:val="0"/>
                <w:i w:val="0"/>
                <w:color w:val="2A3140"/>
                <w:sz w:val="17"/>
              </w:rPr>
              <w:t>4,174.0</w:t>
            </w:r>
          </w:p>
        </w:tc>
        <w:tc>
          <w:tcPr>
            <w:tcW w:type="dxa" w:w="1080"/>
          </w:tcPr>
          <w:p>
            <w:pPr>
              <w:jc w:val="right"/>
            </w:pPr>
            <w:r/>
            <w:r>
              <w:rPr>
                <w:rFonts w:ascii="Arial" w:hAnsi="Arial" w:eastAsia="Arial"/>
                <w:b w:val="0"/>
                <w:i w:val="0"/>
                <w:color w:val="2A3140"/>
                <w:sz w:val="17"/>
              </w:rPr>
              <w:t>743.0</w:t>
            </w:r>
          </w:p>
        </w:tc>
        <w:tc>
          <w:tcPr>
            <w:tcW w:type="dxa" w:w="1080"/>
          </w:tcPr>
          <w:p>
            <w:pPr>
              <w:jc w:val="right"/>
            </w:pPr>
            <w:r/>
            <w:r>
              <w:rPr>
                <w:rFonts w:ascii="Arial" w:hAnsi="Arial" w:eastAsia="Arial"/>
                <w:b w:val="0"/>
                <w:i w:val="0"/>
                <w:color w:val="2A3140"/>
                <w:sz w:val="17"/>
              </w:rPr>
              <w:t>1,365.0</w:t>
            </w:r>
          </w:p>
        </w:tc>
        <w:tc>
          <w:tcPr>
            <w:tcW w:type="dxa" w:w="1080"/>
          </w:tcPr>
          <w:p>
            <w:pPr>
              <w:jc w:val="right"/>
            </w:pPr>
            <w:r/>
            <w:r>
              <w:rPr>
                <w:rFonts w:ascii="Arial" w:hAnsi="Arial" w:eastAsia="Arial"/>
                <w:b w:val="0"/>
                <w:i w:val="0"/>
                <w:color w:val="2A3140"/>
                <w:sz w:val="17"/>
              </w:rPr>
              <w:t>4,796.0</w:t>
            </w:r>
          </w:p>
        </w:tc>
      </w:tr>
      <w:tr>
        <w:tc>
          <w:tcPr>
            <w:tcW w:type="dxa" w:w="2880"/>
          </w:tcPr>
          <w:p>
            <w:r/>
            <w:r>
              <w:rPr>
                <w:rFonts w:ascii="Arial" w:hAnsi="Arial" w:eastAsia="Arial"/>
                <w:b w:val="0"/>
                <w:i w:val="0"/>
                <w:color w:val="2A3140"/>
                <w:sz w:val="17"/>
              </w:rPr>
              <w:t>Capex (purchase of property and equipment)</w:t>
            </w:r>
          </w:p>
        </w:tc>
        <w:tc>
          <w:tcPr>
            <w:tcW w:type="dxa" w:w="1080"/>
          </w:tcPr>
          <w:p>
            <w:pPr>
              <w:jc w:val="right"/>
            </w:pPr>
            <w:r/>
            <w:r>
              <w:rPr>
                <w:rFonts w:ascii="Arial" w:hAnsi="Arial" w:eastAsia="Arial"/>
                <w:b w:val="0"/>
                <w:i w:val="0"/>
                <w:color w:val="2A3140"/>
                <w:sz w:val="17"/>
              </w:rPr>
              <w:t>(2,943.0)</w:t>
            </w:r>
          </w:p>
        </w:tc>
        <w:tc>
          <w:tcPr>
            <w:tcW w:type="dxa" w:w="1080"/>
          </w:tcPr>
          <w:p>
            <w:pPr>
              <w:jc w:val="right"/>
            </w:pPr>
            <w:r/>
            <w:r>
              <w:rPr>
                <w:rFonts w:ascii="Arial" w:hAnsi="Arial" w:eastAsia="Arial"/>
                <w:b w:val="0"/>
                <w:i w:val="0"/>
                <w:color w:val="2A3140"/>
                <w:sz w:val="17"/>
              </w:rPr>
              <w:t>(8,702.0)</w:t>
            </w:r>
          </w:p>
        </w:tc>
        <w:tc>
          <w:tcPr>
            <w:tcW w:type="dxa" w:w="1080"/>
          </w:tcPr>
          <w:p>
            <w:pPr>
              <w:jc w:val="right"/>
            </w:pPr>
            <w:r/>
            <w:r>
              <w:rPr>
                <w:rFonts w:ascii="Arial" w:hAnsi="Arial" w:eastAsia="Arial"/>
                <w:b w:val="0"/>
                <w:i w:val="0"/>
                <w:color w:val="2A3140"/>
                <w:sz w:val="17"/>
              </w:rPr>
              <w:t>(10,309.0)</w:t>
            </w:r>
          </w:p>
        </w:tc>
        <w:tc>
          <w:tcPr>
            <w:tcW w:type="dxa" w:w="1080"/>
          </w:tcPr>
          <w:p>
            <w:pPr>
              <w:jc w:val="right"/>
            </w:pPr>
            <w:r/>
            <w:r>
              <w:rPr>
                <w:rFonts w:ascii="Arial" w:hAnsi="Arial" w:eastAsia="Arial"/>
                <w:b w:val="0"/>
                <w:i w:val="0"/>
                <w:color w:val="2A3140"/>
                <w:sz w:val="17"/>
              </w:rPr>
              <w:t>(3,860.0)</w:t>
            </w:r>
          </w:p>
        </w:tc>
        <w:tc>
          <w:tcPr>
            <w:tcW w:type="dxa" w:w="1080"/>
          </w:tcPr>
          <w:p>
            <w:pPr>
              <w:jc w:val="right"/>
            </w:pPr>
            <w:r/>
            <w:r>
              <w:rPr>
                <w:rFonts w:ascii="Arial" w:hAnsi="Arial" w:eastAsia="Arial"/>
                <w:b w:val="0"/>
                <w:i w:val="0"/>
                <w:color w:val="2A3140"/>
                <w:sz w:val="17"/>
              </w:rPr>
              <w:t>(14,117.0)</w:t>
            </w:r>
          </w:p>
        </w:tc>
        <w:tc>
          <w:tcPr>
            <w:tcW w:type="dxa" w:w="1080"/>
          </w:tcPr>
          <w:p>
            <w:pPr>
              <w:jc w:val="right"/>
            </w:pPr>
            <w:r/>
            <w:r>
              <w:rPr>
                <w:rFonts w:ascii="Arial" w:hAnsi="Arial" w:eastAsia="Arial"/>
                <w:b w:val="0"/>
                <w:i w:val="0"/>
                <w:color w:val="2A3140"/>
                <w:sz w:val="17"/>
              </w:rPr>
              <w:t>(20,566.0)</w:t>
            </w:r>
          </w:p>
        </w:tc>
      </w:tr>
      <w:tr>
        <w:tc>
          <w:tcPr>
            <w:tcW w:type="dxa" w:w="2880"/>
          </w:tcPr>
          <w:p>
            <w:r/>
            <w:r>
              <w:rPr>
                <w:rFonts w:ascii="Arial" w:hAnsi="Arial" w:eastAsia="Arial"/>
                <w:b w:val="0"/>
                <w:i w:val="0"/>
                <w:color w:val="2A3140"/>
                <w:sz w:val="17"/>
              </w:rPr>
              <w:t>Operating cash flow less capex</w:t>
            </w:r>
          </w:p>
        </w:tc>
        <w:tc>
          <w:tcPr>
            <w:tcW w:type="dxa" w:w="1080"/>
          </w:tcPr>
          <w:p>
            <w:pPr>
              <w:jc w:val="right"/>
            </w:pPr>
            <w:r/>
            <w:r>
              <w:rPr>
                <w:rFonts w:ascii="Arial" w:hAnsi="Arial" w:eastAsia="Arial"/>
                <w:b w:val="0"/>
                <w:i w:val="0"/>
                <w:color w:val="2A3140"/>
                <w:sz w:val="17"/>
              </w:rPr>
              <w:t>(1,110.0)</w:t>
            </w:r>
          </w:p>
        </w:tc>
        <w:tc>
          <w:tcPr>
            <w:tcW w:type="dxa" w:w="1080"/>
          </w:tcPr>
          <w:p>
            <w:pPr>
              <w:jc w:val="right"/>
            </w:pPr>
            <w:r/>
            <w:r>
              <w:rPr>
                <w:rFonts w:ascii="Arial" w:hAnsi="Arial" w:eastAsia="Arial"/>
                <w:b w:val="0"/>
                <w:i w:val="0"/>
                <w:color w:val="2A3140"/>
                <w:sz w:val="17"/>
              </w:rPr>
              <w:t>(5,953.0)</w:t>
            </w:r>
          </w:p>
        </w:tc>
        <w:tc>
          <w:tcPr>
            <w:tcW w:type="dxa" w:w="1080"/>
          </w:tcPr>
          <w:p>
            <w:pPr>
              <w:jc w:val="right"/>
            </w:pPr>
            <w:r/>
            <w:r>
              <w:rPr>
                <w:rFonts w:ascii="Arial" w:hAnsi="Arial" w:eastAsia="Arial"/>
                <w:b w:val="0"/>
                <w:i w:val="0"/>
                <w:color w:val="2A3140"/>
                <w:sz w:val="17"/>
              </w:rPr>
              <w:t>(7,251.0)</w:t>
            </w:r>
          </w:p>
        </w:tc>
        <w:tc>
          <w:tcPr>
            <w:tcW w:type="dxa" w:w="1080"/>
          </w:tcPr>
          <w:p>
            <w:pPr>
              <w:jc w:val="right"/>
            </w:pPr>
            <w:r/>
            <w:r>
              <w:rPr>
                <w:rFonts w:ascii="Arial" w:hAnsi="Arial" w:eastAsia="Arial"/>
                <w:b w:val="0"/>
                <w:i w:val="0"/>
                <w:color w:val="2A3140"/>
                <w:sz w:val="17"/>
              </w:rPr>
              <w:t>(4,050.0)</w:t>
            </w:r>
          </w:p>
        </w:tc>
        <w:tc>
          <w:tcPr>
            <w:tcW w:type="dxa" w:w="1080"/>
          </w:tcPr>
          <w:p>
            <w:pPr>
              <w:jc w:val="right"/>
            </w:pPr>
            <w:r/>
            <w:r>
              <w:rPr>
                <w:rFonts w:ascii="Arial" w:hAnsi="Arial" w:eastAsia="Arial"/>
                <w:b w:val="0"/>
                <w:i w:val="0"/>
                <w:color w:val="2A3140"/>
                <w:sz w:val="17"/>
              </w:rPr>
              <w:t>(10,454.0)</w:t>
            </w:r>
          </w:p>
        </w:tc>
        <w:tc>
          <w:tcPr>
            <w:tcW w:type="dxa" w:w="1080"/>
          </w:tcPr>
          <w:p>
            <w:pPr>
              <w:jc w:val="right"/>
            </w:pPr>
            <w:r/>
            <w:r>
              <w:rPr>
                <w:rFonts w:ascii="Arial" w:hAnsi="Arial" w:eastAsia="Arial"/>
                <w:b w:val="0"/>
                <w:i w:val="0"/>
                <w:color w:val="2A3140"/>
                <w:sz w:val="17"/>
              </w:rPr>
              <w:t>(13,655.0)</w:t>
            </w:r>
          </w:p>
        </w:tc>
      </w:tr>
      <w:tr>
        <w:tc>
          <w:tcPr>
            <w:tcW w:type="dxa" w:w="2880"/>
          </w:tcPr>
          <w:p>
            <w:r/>
            <w:r>
              <w:rPr>
                <w:rFonts w:ascii="Arial" w:hAnsi="Arial" w:eastAsia="Arial"/>
                <w:b w:val="0"/>
                <w:i w:val="0"/>
                <w:color w:val="2A3140"/>
                <w:sz w:val="17"/>
              </w:rPr>
              <w:t>Cash interest paid, net of capitalized</w:t>
            </w:r>
          </w:p>
        </w:tc>
        <w:tc>
          <w:tcPr>
            <w:tcW w:type="dxa" w:w="1080"/>
          </w:tcPr>
          <w:p>
            <w:pPr>
              <w:jc w:val="right"/>
            </w:pPr>
            <w:r/>
            <w:r>
              <w:rPr>
                <w:rFonts w:ascii="Arial" w:hAnsi="Arial" w:eastAsia="Arial"/>
                <w:b w:val="0"/>
                <w:i w:val="0"/>
                <w:color w:val="2A3140"/>
                <w:sz w:val="17"/>
              </w:rPr>
              <w:t>0.0</w:t>
            </w:r>
          </w:p>
        </w:tc>
        <w:tc>
          <w:tcPr>
            <w:tcW w:type="dxa" w:w="1080"/>
          </w:tcPr>
          <w:p>
            <w:pPr>
              <w:jc w:val="right"/>
            </w:pPr>
            <w:r/>
            <w:r>
              <w:rPr>
                <w:rFonts w:ascii="Arial" w:hAnsi="Arial" w:eastAsia="Arial"/>
                <w:b w:val="0"/>
                <w:i w:val="0"/>
                <w:color w:val="2A3140"/>
                <w:sz w:val="17"/>
              </w:rPr>
              <w:t>184.0</w:t>
            </w:r>
          </w:p>
        </w:tc>
        <w:tc>
          <w:tcPr>
            <w:tcW w:type="dxa" w:w="1080"/>
          </w:tcPr>
          <w:p>
            <w:pPr>
              <w:jc w:val="right"/>
            </w:pPr>
            <w:r/>
            <w:r>
              <w:rPr>
                <w:rFonts w:ascii="Arial" w:hAnsi="Arial" w:eastAsia="Arial"/>
                <w:b w:val="0"/>
                <w:i w:val="0"/>
                <w:color w:val="2A3140"/>
                <w:sz w:val="17"/>
              </w:rPr>
              <w:t>869.0</w:t>
            </w:r>
          </w:p>
        </w:tc>
        <w:tc>
          <w:tcPr>
            <w:tcW w:type="dxa" w:w="1080"/>
          </w:tcPr>
          <w:p>
            <w:pPr>
              <w:jc w:val="right"/>
            </w:pPr>
            <w:r/>
            <w:r>
              <w:rPr>
                <w:rFonts w:ascii="Arial" w:hAnsi="Arial" w:eastAsia="Arial"/>
                <w:b w:val="0"/>
                <w:i w:val="0"/>
                <w:color w:val="2A3140"/>
                <w:sz w:val="17"/>
              </w:rPr>
              <w:t>362.0</w:t>
            </w:r>
          </w:p>
        </w:tc>
        <w:tc>
          <w:tcPr>
            <w:tcW w:type="dxa" w:w="1080"/>
          </w:tcPr>
          <w:p>
            <w:pPr>
              <w:jc w:val="right"/>
            </w:pPr>
            <w:r/>
            <w:r>
              <w:rPr>
                <w:rFonts w:ascii="Arial" w:hAnsi="Arial" w:eastAsia="Arial"/>
                <w:b w:val="0"/>
                <w:i w:val="0"/>
                <w:color w:val="2A3140"/>
                <w:sz w:val="17"/>
              </w:rPr>
              <w:t>806.0</w:t>
            </w:r>
          </w:p>
        </w:tc>
        <w:tc>
          <w:tcPr>
            <w:tcW w:type="dxa" w:w="1080"/>
          </w:tcPr>
          <w:p>
            <w:pPr>
              <w:jc w:val="right"/>
            </w:pPr>
            <w:r/>
            <w:r>
              <w:rPr>
                <w:rFonts w:ascii="Arial" w:hAnsi="Arial" w:eastAsia="Arial"/>
                <w:b w:val="0"/>
                <w:i w:val="0"/>
                <w:color w:val="2A3140"/>
                <w:sz w:val="17"/>
              </w:rPr>
              <w:t>1,313.0</w:t>
            </w:r>
          </w:p>
        </w:tc>
      </w:tr>
    </w:tbl>
    <w:p/>
    <w:p>
      <w:r>
        <w:rPr>
          <w:rFonts w:ascii="Arial" w:hAnsi="Arial" w:eastAsia="Arial"/>
          <w:b w:val="0"/>
          <w:i/>
          <w:color w:val="5B6475"/>
          <w:sz w:val="16"/>
        </w:rPr>
        <w:t>Note: costs and interest are shown positive; negatives in parentheses. Capex excludes non-cash additions financed by vendors ($11,151M in 2025). The 6M Jun-25A capex comparative (3,860) is as filed in the 2Q26 10-Q; the 3Q25 release says $890M of 1H25 purchases were later treated as non-cash. Maintenance and growth capex are not split (n/d); cash taxes are n/d. [S1, S2, S3, S4]</w:t>
      </w:r>
    </w:p>
    <w:p>
      <w:r>
        <w:rPr>
          <w:rFonts w:ascii="Arial" w:hAnsi="Arial" w:eastAsia="Arial"/>
          <w:b/>
          <w:i w:val="0"/>
          <w:color w:val="2A3140"/>
          <w:sz w:val="21"/>
        </w:rPr>
        <w:t>Exhibit 2 extract: quarterly</w:t>
      </w:r>
      <w:r>
        <w:rPr>
          <w:rFonts w:ascii="Arial" w:hAnsi="Arial" w:eastAsia="Arial"/>
          <w:b w:val="0"/>
          <w:i w:val="0"/>
          <w:color w:val="2A3140"/>
          <w:sz w:val="21"/>
        </w:rPr>
        <w:t xml:space="preserve"> ($ in millions)</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880"/>
        <w:gridCol w:w="810"/>
        <w:gridCol w:w="810"/>
        <w:gridCol w:w="810"/>
        <w:gridCol w:w="810"/>
        <w:gridCol w:w="810"/>
        <w:gridCol w:w="810"/>
        <w:gridCol w:w="810"/>
        <w:gridCol w:w="810"/>
      </w:tblGrid>
      <w:tr>
        <w:tc>
          <w:tcPr>
            <w:tcW w:type="dxa" w:w="2880"/>
            <w:shd w:val="clear" w:color="auto" w:fill="E4EAF3"/>
          </w:tcPr>
          <w:p>
            <w:r/>
            <w:r>
              <w:rPr>
                <w:rFonts w:ascii="Arial" w:hAnsi="Arial" w:eastAsia="Arial"/>
                <w:b/>
                <w:i w:val="0"/>
                <w:color w:val="121826"/>
                <w:sz w:val="17"/>
              </w:rPr>
              <w:t>$M</w:t>
            </w:r>
          </w:p>
        </w:tc>
        <w:tc>
          <w:tcPr>
            <w:tcW w:type="dxa" w:w="810"/>
            <w:shd w:val="clear" w:color="auto" w:fill="E4EAF3"/>
          </w:tcPr>
          <w:p>
            <w:r/>
            <w:r>
              <w:rPr>
                <w:rFonts w:ascii="Arial" w:hAnsi="Arial" w:eastAsia="Arial"/>
                <w:b/>
                <w:i w:val="0"/>
                <w:color w:val="121826"/>
                <w:sz w:val="17"/>
              </w:rPr>
              <w:t>Q3-24</w:t>
            </w:r>
          </w:p>
        </w:tc>
        <w:tc>
          <w:tcPr>
            <w:tcW w:type="dxa" w:w="810"/>
            <w:shd w:val="clear" w:color="auto" w:fill="E4EAF3"/>
          </w:tcPr>
          <w:p>
            <w:r/>
            <w:r>
              <w:rPr>
                <w:rFonts w:ascii="Arial" w:hAnsi="Arial" w:eastAsia="Arial"/>
                <w:b/>
                <w:i w:val="0"/>
                <w:color w:val="121826"/>
                <w:sz w:val="17"/>
              </w:rPr>
              <w:t>Q4-24</w:t>
            </w:r>
          </w:p>
        </w:tc>
        <w:tc>
          <w:tcPr>
            <w:tcW w:type="dxa" w:w="810"/>
            <w:shd w:val="clear" w:color="auto" w:fill="E4EAF3"/>
          </w:tcPr>
          <w:p>
            <w:r/>
            <w:r>
              <w:rPr>
                <w:rFonts w:ascii="Arial" w:hAnsi="Arial" w:eastAsia="Arial"/>
                <w:b/>
                <w:i w:val="0"/>
                <w:color w:val="121826"/>
                <w:sz w:val="17"/>
              </w:rPr>
              <w:t>Q1-25</w:t>
            </w:r>
          </w:p>
        </w:tc>
        <w:tc>
          <w:tcPr>
            <w:tcW w:type="dxa" w:w="810"/>
            <w:shd w:val="clear" w:color="auto" w:fill="E4EAF3"/>
          </w:tcPr>
          <w:p>
            <w:r/>
            <w:r>
              <w:rPr>
                <w:rFonts w:ascii="Arial" w:hAnsi="Arial" w:eastAsia="Arial"/>
                <w:b/>
                <w:i w:val="0"/>
                <w:color w:val="121826"/>
                <w:sz w:val="17"/>
              </w:rPr>
              <w:t>Q2-25</w:t>
            </w:r>
          </w:p>
        </w:tc>
        <w:tc>
          <w:tcPr>
            <w:tcW w:type="dxa" w:w="810"/>
            <w:shd w:val="clear" w:color="auto" w:fill="E4EAF3"/>
          </w:tcPr>
          <w:p>
            <w:r/>
            <w:r>
              <w:rPr>
                <w:rFonts w:ascii="Arial" w:hAnsi="Arial" w:eastAsia="Arial"/>
                <w:b/>
                <w:i w:val="0"/>
                <w:color w:val="121826"/>
                <w:sz w:val="17"/>
              </w:rPr>
              <w:t>Q3-25</w:t>
            </w:r>
          </w:p>
        </w:tc>
        <w:tc>
          <w:tcPr>
            <w:tcW w:type="dxa" w:w="810"/>
            <w:shd w:val="clear" w:color="auto" w:fill="E4EAF3"/>
          </w:tcPr>
          <w:p>
            <w:r/>
            <w:r>
              <w:rPr>
                <w:rFonts w:ascii="Arial" w:hAnsi="Arial" w:eastAsia="Arial"/>
                <w:b/>
                <w:i w:val="0"/>
                <w:color w:val="121826"/>
                <w:sz w:val="17"/>
              </w:rPr>
              <w:t>Q4-25</w:t>
            </w:r>
          </w:p>
        </w:tc>
        <w:tc>
          <w:tcPr>
            <w:tcW w:type="dxa" w:w="810"/>
            <w:shd w:val="clear" w:color="auto" w:fill="E4EAF3"/>
          </w:tcPr>
          <w:p>
            <w:r/>
            <w:r>
              <w:rPr>
                <w:rFonts w:ascii="Arial" w:hAnsi="Arial" w:eastAsia="Arial"/>
                <w:b/>
                <w:i w:val="0"/>
                <w:color w:val="121826"/>
                <w:sz w:val="17"/>
              </w:rPr>
              <w:t>Q1-26</w:t>
            </w:r>
          </w:p>
        </w:tc>
        <w:tc>
          <w:tcPr>
            <w:tcW w:type="dxa" w:w="810"/>
            <w:shd w:val="clear" w:color="auto" w:fill="E4EAF3"/>
          </w:tcPr>
          <w:p>
            <w:r/>
            <w:r>
              <w:rPr>
                <w:rFonts w:ascii="Arial" w:hAnsi="Arial" w:eastAsia="Arial"/>
                <w:b/>
                <w:i w:val="0"/>
                <w:color w:val="121826"/>
                <w:sz w:val="17"/>
              </w:rPr>
              <w:t>Q2-26</w:t>
            </w:r>
          </w:p>
        </w:tc>
      </w:tr>
      <w:tr>
        <w:tc>
          <w:tcPr>
            <w:tcW w:type="dxa" w:w="2880"/>
          </w:tcPr>
          <w:p>
            <w:r/>
            <w:r>
              <w:rPr>
                <w:rFonts w:ascii="Arial" w:hAnsi="Arial" w:eastAsia="Arial"/>
                <w:b w:val="0"/>
                <w:i w:val="0"/>
                <w:color w:val="2A3140"/>
                <w:sz w:val="17"/>
              </w:rPr>
              <w:t>Revenue</w:t>
            </w:r>
          </w:p>
        </w:tc>
        <w:tc>
          <w:tcPr>
            <w:tcW w:type="dxa" w:w="810"/>
          </w:tcPr>
          <w:p>
            <w:pPr>
              <w:jc w:val="right"/>
            </w:pPr>
            <w:r/>
            <w:r>
              <w:rPr>
                <w:rFonts w:ascii="Arial" w:hAnsi="Arial" w:eastAsia="Arial"/>
                <w:b w:val="0"/>
                <w:i w:val="0"/>
                <w:color w:val="2A3140"/>
                <w:sz w:val="17"/>
              </w:rPr>
              <w:t>583.9</w:t>
            </w:r>
          </w:p>
        </w:tc>
        <w:tc>
          <w:tcPr>
            <w:tcW w:type="dxa" w:w="810"/>
          </w:tcPr>
          <w:p>
            <w:pPr>
              <w:jc w:val="right"/>
            </w:pPr>
            <w:r/>
            <w:r>
              <w:rPr>
                <w:rFonts w:ascii="Arial" w:hAnsi="Arial" w:eastAsia="Arial"/>
                <w:b w:val="0"/>
                <w:i w:val="0"/>
                <w:color w:val="2A3140"/>
                <w:sz w:val="17"/>
              </w:rPr>
              <w:t>747.0</w:t>
            </w:r>
          </w:p>
        </w:tc>
        <w:tc>
          <w:tcPr>
            <w:tcW w:type="dxa" w:w="810"/>
          </w:tcPr>
          <w:p>
            <w:pPr>
              <w:jc w:val="right"/>
            </w:pPr>
            <w:r/>
            <w:r>
              <w:rPr>
                <w:rFonts w:ascii="Arial" w:hAnsi="Arial" w:eastAsia="Arial"/>
                <w:b w:val="0"/>
                <w:i w:val="0"/>
                <w:color w:val="2A3140"/>
                <w:sz w:val="17"/>
              </w:rPr>
              <w:t>982.0</w:t>
            </w:r>
          </w:p>
        </w:tc>
        <w:tc>
          <w:tcPr>
            <w:tcW w:type="dxa" w:w="810"/>
          </w:tcPr>
          <w:p>
            <w:pPr>
              <w:jc w:val="right"/>
            </w:pPr>
            <w:r/>
            <w:r>
              <w:rPr>
                <w:rFonts w:ascii="Arial" w:hAnsi="Arial" w:eastAsia="Arial"/>
                <w:b w:val="0"/>
                <w:i w:val="0"/>
                <w:color w:val="2A3140"/>
                <w:sz w:val="17"/>
              </w:rPr>
              <w:t>1,212.0</w:t>
            </w:r>
          </w:p>
        </w:tc>
        <w:tc>
          <w:tcPr>
            <w:tcW w:type="dxa" w:w="810"/>
          </w:tcPr>
          <w:p>
            <w:pPr>
              <w:jc w:val="right"/>
            </w:pPr>
            <w:r/>
            <w:r>
              <w:rPr>
                <w:rFonts w:ascii="Arial" w:hAnsi="Arial" w:eastAsia="Arial"/>
                <w:b w:val="0"/>
                <w:i w:val="0"/>
                <w:color w:val="2A3140"/>
                <w:sz w:val="17"/>
              </w:rPr>
              <w:t>1,364.7</w:t>
            </w:r>
          </w:p>
        </w:tc>
        <w:tc>
          <w:tcPr>
            <w:tcW w:type="dxa" w:w="810"/>
          </w:tcPr>
          <w:p>
            <w:pPr>
              <w:jc w:val="right"/>
            </w:pPr>
            <w:r/>
            <w:r>
              <w:rPr>
                <w:rFonts w:ascii="Arial" w:hAnsi="Arial" w:eastAsia="Arial"/>
                <w:b w:val="0"/>
                <w:i w:val="0"/>
                <w:color w:val="2A3140"/>
                <w:sz w:val="17"/>
              </w:rPr>
              <w:t>1,572.0</w:t>
            </w:r>
          </w:p>
        </w:tc>
        <w:tc>
          <w:tcPr>
            <w:tcW w:type="dxa" w:w="810"/>
          </w:tcPr>
          <w:p>
            <w:pPr>
              <w:jc w:val="right"/>
            </w:pPr>
            <w:r/>
            <w:r>
              <w:rPr>
                <w:rFonts w:ascii="Arial" w:hAnsi="Arial" w:eastAsia="Arial"/>
                <w:b w:val="0"/>
                <w:i w:val="0"/>
                <w:color w:val="2A3140"/>
                <w:sz w:val="17"/>
              </w:rPr>
              <w:t>2,078.0</w:t>
            </w:r>
          </w:p>
        </w:tc>
        <w:tc>
          <w:tcPr>
            <w:tcW w:type="dxa" w:w="810"/>
          </w:tcPr>
          <w:p>
            <w:pPr>
              <w:jc w:val="right"/>
            </w:pPr>
            <w:r/>
            <w:r>
              <w:rPr>
                <w:rFonts w:ascii="Arial" w:hAnsi="Arial" w:eastAsia="Arial"/>
                <w:b w:val="0"/>
                <w:i w:val="0"/>
                <w:color w:val="2A3140"/>
                <w:sz w:val="17"/>
              </w:rPr>
              <w:t>2,575.0</w:t>
            </w:r>
          </w:p>
        </w:tc>
      </w:tr>
      <w:tr>
        <w:tc>
          <w:tcPr>
            <w:tcW w:type="dxa" w:w="2880"/>
          </w:tcPr>
          <w:p>
            <w:r/>
            <w:r>
              <w:rPr>
                <w:rFonts w:ascii="Arial" w:hAnsi="Arial" w:eastAsia="Arial"/>
                <w:b w:val="0"/>
                <w:i w:val="0"/>
                <w:color w:val="2A3140"/>
                <w:sz w:val="17"/>
              </w:rPr>
              <w:t>Adjusted EBITDA</w:t>
            </w:r>
          </w:p>
        </w:tc>
        <w:tc>
          <w:tcPr>
            <w:tcW w:type="dxa" w:w="810"/>
          </w:tcPr>
          <w:p>
            <w:pPr>
              <w:jc w:val="right"/>
            </w:pPr>
            <w:r/>
            <w:r>
              <w:rPr>
                <w:rFonts w:ascii="Arial" w:hAnsi="Arial" w:eastAsia="Arial"/>
                <w:b w:val="0"/>
                <w:i w:val="0"/>
                <w:color w:val="2A3140"/>
                <w:sz w:val="17"/>
              </w:rPr>
              <w:t>378.8</w:t>
            </w:r>
          </w:p>
        </w:tc>
        <w:tc>
          <w:tcPr>
            <w:tcW w:type="dxa" w:w="810"/>
          </w:tcPr>
          <w:p>
            <w:pPr>
              <w:jc w:val="right"/>
            </w:pPr>
            <w:r/>
            <w:r>
              <w:rPr>
                <w:rFonts w:ascii="Arial" w:hAnsi="Arial" w:eastAsia="Arial"/>
                <w:b w:val="0"/>
                <w:i w:val="0"/>
                <w:color w:val="2A3140"/>
                <w:sz w:val="17"/>
              </w:rPr>
              <w:t>486.0</w:t>
            </w:r>
          </w:p>
        </w:tc>
        <w:tc>
          <w:tcPr>
            <w:tcW w:type="dxa" w:w="810"/>
          </w:tcPr>
          <w:p>
            <w:pPr>
              <w:jc w:val="right"/>
            </w:pPr>
            <w:r/>
            <w:r>
              <w:rPr>
                <w:rFonts w:ascii="Arial" w:hAnsi="Arial" w:eastAsia="Arial"/>
                <w:b w:val="0"/>
                <w:i w:val="0"/>
                <w:color w:val="2A3140"/>
                <w:sz w:val="17"/>
              </w:rPr>
              <w:t>606.0</w:t>
            </w:r>
          </w:p>
        </w:tc>
        <w:tc>
          <w:tcPr>
            <w:tcW w:type="dxa" w:w="810"/>
          </w:tcPr>
          <w:p>
            <w:pPr>
              <w:jc w:val="right"/>
            </w:pPr>
            <w:r/>
            <w:r>
              <w:rPr>
                <w:rFonts w:ascii="Arial" w:hAnsi="Arial" w:eastAsia="Arial"/>
                <w:b w:val="0"/>
                <w:i w:val="0"/>
                <w:color w:val="2A3140"/>
                <w:sz w:val="17"/>
              </w:rPr>
              <w:t>753.0</w:t>
            </w:r>
          </w:p>
        </w:tc>
        <w:tc>
          <w:tcPr>
            <w:tcW w:type="dxa" w:w="810"/>
          </w:tcPr>
          <w:p>
            <w:pPr>
              <w:jc w:val="right"/>
            </w:pPr>
            <w:r/>
            <w:r>
              <w:rPr>
                <w:rFonts w:ascii="Arial" w:hAnsi="Arial" w:eastAsia="Arial"/>
                <w:b w:val="0"/>
                <w:i w:val="0"/>
                <w:color w:val="2A3140"/>
                <w:sz w:val="17"/>
              </w:rPr>
              <w:t>838.1</w:t>
            </w:r>
          </w:p>
        </w:tc>
        <w:tc>
          <w:tcPr>
            <w:tcW w:type="dxa" w:w="810"/>
          </w:tcPr>
          <w:p>
            <w:pPr>
              <w:jc w:val="right"/>
            </w:pPr>
            <w:r/>
            <w:r>
              <w:rPr>
                <w:rFonts w:ascii="Arial" w:hAnsi="Arial" w:eastAsia="Arial"/>
                <w:b w:val="0"/>
                <w:i w:val="0"/>
                <w:color w:val="2A3140"/>
                <w:sz w:val="17"/>
              </w:rPr>
              <w:t>898.0</w:t>
            </w:r>
          </w:p>
        </w:tc>
        <w:tc>
          <w:tcPr>
            <w:tcW w:type="dxa" w:w="810"/>
          </w:tcPr>
          <w:p>
            <w:pPr>
              <w:jc w:val="right"/>
            </w:pPr>
            <w:r/>
            <w:r>
              <w:rPr>
                <w:rFonts w:ascii="Arial" w:hAnsi="Arial" w:eastAsia="Arial"/>
                <w:b w:val="0"/>
                <w:i w:val="0"/>
                <w:color w:val="2A3140"/>
                <w:sz w:val="17"/>
              </w:rPr>
              <w:t>1,157.0</w:t>
            </w:r>
          </w:p>
        </w:tc>
        <w:tc>
          <w:tcPr>
            <w:tcW w:type="dxa" w:w="810"/>
          </w:tcPr>
          <w:p>
            <w:pPr>
              <w:jc w:val="right"/>
            </w:pPr>
            <w:r/>
            <w:r>
              <w:rPr>
                <w:rFonts w:ascii="Arial" w:hAnsi="Arial" w:eastAsia="Arial"/>
                <w:b w:val="0"/>
                <w:i w:val="0"/>
                <w:color w:val="2A3140"/>
                <w:sz w:val="17"/>
              </w:rPr>
              <w:t>1,510.0</w:t>
            </w:r>
          </w:p>
        </w:tc>
      </w:tr>
      <w:tr>
        <w:tc>
          <w:tcPr>
            <w:tcW w:type="dxa" w:w="2880"/>
          </w:tcPr>
          <w:p>
            <w:r/>
            <w:r>
              <w:rPr>
                <w:rFonts w:ascii="Arial" w:hAnsi="Arial" w:eastAsia="Arial"/>
                <w:b w:val="0"/>
                <w:i w:val="0"/>
                <w:color w:val="2A3140"/>
                <w:sz w:val="17"/>
              </w:rPr>
              <w:t>Interest expense, net</w:t>
            </w:r>
          </w:p>
        </w:tc>
        <w:tc>
          <w:tcPr>
            <w:tcW w:type="dxa" w:w="810"/>
          </w:tcPr>
          <w:p>
            <w:pPr>
              <w:jc w:val="right"/>
            </w:pPr>
            <w:r/>
            <w:r>
              <w:rPr>
                <w:rFonts w:ascii="Arial" w:hAnsi="Arial" w:eastAsia="Arial"/>
                <w:b w:val="0"/>
                <w:i w:val="0"/>
                <w:color w:val="2A3140"/>
                <w:sz w:val="17"/>
              </w:rPr>
              <w:t>104.4</w:t>
            </w:r>
          </w:p>
        </w:tc>
        <w:tc>
          <w:tcPr>
            <w:tcW w:type="dxa" w:w="810"/>
          </w:tcPr>
          <w:p>
            <w:pPr>
              <w:jc w:val="right"/>
            </w:pPr>
            <w:r/>
            <w:r>
              <w:rPr>
                <w:rFonts w:ascii="Arial" w:hAnsi="Arial" w:eastAsia="Arial"/>
                <w:b w:val="0"/>
                <w:i w:val="0"/>
                <w:color w:val="2A3140"/>
                <w:sz w:val="17"/>
              </w:rPr>
              <w:t>149.0</w:t>
            </w:r>
          </w:p>
        </w:tc>
        <w:tc>
          <w:tcPr>
            <w:tcW w:type="dxa" w:w="810"/>
          </w:tcPr>
          <w:p>
            <w:pPr>
              <w:jc w:val="right"/>
            </w:pPr>
            <w:r/>
            <w:r>
              <w:rPr>
                <w:rFonts w:ascii="Arial" w:hAnsi="Arial" w:eastAsia="Arial"/>
                <w:b w:val="0"/>
                <w:i w:val="0"/>
                <w:color w:val="2A3140"/>
                <w:sz w:val="17"/>
              </w:rPr>
              <w:t>264.0</w:t>
            </w:r>
          </w:p>
        </w:tc>
        <w:tc>
          <w:tcPr>
            <w:tcW w:type="dxa" w:w="810"/>
          </w:tcPr>
          <w:p>
            <w:pPr>
              <w:jc w:val="right"/>
            </w:pPr>
            <w:r/>
            <w:r>
              <w:rPr>
                <w:rFonts w:ascii="Arial" w:hAnsi="Arial" w:eastAsia="Arial"/>
                <w:b w:val="0"/>
                <w:i w:val="0"/>
                <w:color w:val="2A3140"/>
                <w:sz w:val="17"/>
              </w:rPr>
              <w:t>267.0</w:t>
            </w:r>
          </w:p>
        </w:tc>
        <w:tc>
          <w:tcPr>
            <w:tcW w:type="dxa" w:w="810"/>
          </w:tcPr>
          <w:p>
            <w:pPr>
              <w:jc w:val="right"/>
            </w:pPr>
            <w:r/>
            <w:r>
              <w:rPr>
                <w:rFonts w:ascii="Arial" w:hAnsi="Arial" w:eastAsia="Arial"/>
                <w:b w:val="0"/>
                <w:i w:val="0"/>
                <w:color w:val="2A3140"/>
                <w:sz w:val="17"/>
              </w:rPr>
              <w:t>310.6</w:t>
            </w:r>
          </w:p>
        </w:tc>
        <w:tc>
          <w:tcPr>
            <w:tcW w:type="dxa" w:w="810"/>
          </w:tcPr>
          <w:p>
            <w:pPr>
              <w:jc w:val="right"/>
            </w:pPr>
            <w:r/>
            <w:r>
              <w:rPr>
                <w:rFonts w:ascii="Arial" w:hAnsi="Arial" w:eastAsia="Arial"/>
                <w:b w:val="0"/>
                <w:i w:val="0"/>
                <w:color w:val="2A3140"/>
                <w:sz w:val="17"/>
              </w:rPr>
              <w:t>388.0</w:t>
            </w:r>
          </w:p>
        </w:tc>
        <w:tc>
          <w:tcPr>
            <w:tcW w:type="dxa" w:w="810"/>
          </w:tcPr>
          <w:p>
            <w:pPr>
              <w:jc w:val="right"/>
            </w:pPr>
            <w:r/>
            <w:r>
              <w:rPr>
                <w:rFonts w:ascii="Arial" w:hAnsi="Arial" w:eastAsia="Arial"/>
                <w:b w:val="0"/>
                <w:i w:val="0"/>
                <w:color w:val="2A3140"/>
                <w:sz w:val="17"/>
              </w:rPr>
              <w:t>536.0</w:t>
            </w:r>
          </w:p>
        </w:tc>
        <w:tc>
          <w:tcPr>
            <w:tcW w:type="dxa" w:w="810"/>
          </w:tcPr>
          <w:p>
            <w:pPr>
              <w:jc w:val="right"/>
            </w:pPr>
            <w:r/>
            <w:r>
              <w:rPr>
                <w:rFonts w:ascii="Arial" w:hAnsi="Arial" w:eastAsia="Arial"/>
                <w:b w:val="0"/>
                <w:i w:val="0"/>
                <w:color w:val="2A3140"/>
                <w:sz w:val="17"/>
              </w:rPr>
              <w:t>640.0</w:t>
            </w:r>
          </w:p>
        </w:tc>
      </w:tr>
      <w:tr>
        <w:tc>
          <w:tcPr>
            <w:tcW w:type="dxa" w:w="2880"/>
          </w:tcPr>
          <w:p>
            <w:r/>
            <w:r>
              <w:rPr>
                <w:rFonts w:ascii="Arial" w:hAnsi="Arial" w:eastAsia="Arial"/>
                <w:b w:val="0"/>
                <w:i w:val="0"/>
                <w:color w:val="2A3140"/>
                <w:sz w:val="17"/>
              </w:rPr>
              <w:t>Net loss</w:t>
            </w:r>
          </w:p>
        </w:tc>
        <w:tc>
          <w:tcPr>
            <w:tcW w:type="dxa" w:w="810"/>
          </w:tcPr>
          <w:p>
            <w:pPr>
              <w:jc w:val="right"/>
            </w:pPr>
            <w:r/>
            <w:r>
              <w:rPr>
                <w:rFonts w:ascii="Arial" w:hAnsi="Arial" w:eastAsia="Arial"/>
                <w:b w:val="0"/>
                <w:i w:val="0"/>
                <w:color w:val="2A3140"/>
                <w:sz w:val="17"/>
              </w:rPr>
              <w:t>(359.8)</w:t>
            </w:r>
          </w:p>
        </w:tc>
        <w:tc>
          <w:tcPr>
            <w:tcW w:type="dxa" w:w="810"/>
          </w:tcPr>
          <w:p>
            <w:pPr>
              <w:jc w:val="right"/>
            </w:pPr>
            <w:r/>
            <w:r>
              <w:rPr>
                <w:rFonts w:ascii="Arial" w:hAnsi="Arial" w:eastAsia="Arial"/>
                <w:b w:val="0"/>
                <w:i w:val="0"/>
                <w:color w:val="2A3140"/>
                <w:sz w:val="17"/>
              </w:rPr>
              <w:t>(51.0)</w:t>
            </w:r>
          </w:p>
        </w:tc>
        <w:tc>
          <w:tcPr>
            <w:tcW w:type="dxa" w:w="810"/>
          </w:tcPr>
          <w:p>
            <w:pPr>
              <w:jc w:val="right"/>
            </w:pPr>
            <w:r/>
            <w:r>
              <w:rPr>
                <w:rFonts w:ascii="Arial" w:hAnsi="Arial" w:eastAsia="Arial"/>
                <w:b w:val="0"/>
                <w:i w:val="0"/>
                <w:color w:val="2A3140"/>
                <w:sz w:val="17"/>
              </w:rPr>
              <w:t>(315.0)</w:t>
            </w:r>
          </w:p>
        </w:tc>
        <w:tc>
          <w:tcPr>
            <w:tcW w:type="dxa" w:w="810"/>
          </w:tcPr>
          <w:p>
            <w:pPr>
              <w:jc w:val="right"/>
            </w:pPr>
            <w:r/>
            <w:r>
              <w:rPr>
                <w:rFonts w:ascii="Arial" w:hAnsi="Arial" w:eastAsia="Arial"/>
                <w:b w:val="0"/>
                <w:i w:val="0"/>
                <w:color w:val="2A3140"/>
                <w:sz w:val="17"/>
              </w:rPr>
              <w:t>(290.0)</w:t>
            </w:r>
          </w:p>
        </w:tc>
        <w:tc>
          <w:tcPr>
            <w:tcW w:type="dxa" w:w="810"/>
          </w:tcPr>
          <w:p>
            <w:pPr>
              <w:jc w:val="right"/>
            </w:pPr>
            <w:r/>
            <w:r>
              <w:rPr>
                <w:rFonts w:ascii="Arial" w:hAnsi="Arial" w:eastAsia="Arial"/>
                <w:b w:val="0"/>
                <w:i w:val="0"/>
                <w:color w:val="2A3140"/>
                <w:sz w:val="17"/>
              </w:rPr>
              <w:t>(110.1)</w:t>
            </w:r>
          </w:p>
        </w:tc>
        <w:tc>
          <w:tcPr>
            <w:tcW w:type="dxa" w:w="810"/>
          </w:tcPr>
          <w:p>
            <w:pPr>
              <w:jc w:val="right"/>
            </w:pPr>
            <w:r/>
            <w:r>
              <w:rPr>
                <w:rFonts w:ascii="Arial" w:hAnsi="Arial" w:eastAsia="Arial"/>
                <w:b w:val="0"/>
                <w:i w:val="0"/>
                <w:color w:val="2A3140"/>
                <w:sz w:val="17"/>
              </w:rPr>
              <w:t>(452.0)</w:t>
            </w:r>
          </w:p>
        </w:tc>
        <w:tc>
          <w:tcPr>
            <w:tcW w:type="dxa" w:w="810"/>
          </w:tcPr>
          <w:p>
            <w:pPr>
              <w:jc w:val="right"/>
            </w:pPr>
            <w:r/>
            <w:r>
              <w:rPr>
                <w:rFonts w:ascii="Arial" w:hAnsi="Arial" w:eastAsia="Arial"/>
                <w:b w:val="0"/>
                <w:i w:val="0"/>
                <w:color w:val="2A3140"/>
                <w:sz w:val="17"/>
              </w:rPr>
              <w:t>(740.0)</w:t>
            </w:r>
          </w:p>
        </w:tc>
        <w:tc>
          <w:tcPr>
            <w:tcW w:type="dxa" w:w="810"/>
          </w:tcPr>
          <w:p>
            <w:pPr>
              <w:jc w:val="right"/>
            </w:pPr>
            <w:r/>
            <w:r>
              <w:rPr>
                <w:rFonts w:ascii="Arial" w:hAnsi="Arial" w:eastAsia="Arial"/>
                <w:b w:val="0"/>
                <w:i w:val="0"/>
                <w:color w:val="2A3140"/>
                <w:sz w:val="17"/>
              </w:rPr>
              <w:t>(626.0)</w:t>
            </w:r>
          </w:p>
        </w:tc>
      </w:tr>
      <w:tr>
        <w:tc>
          <w:tcPr>
            <w:tcW w:type="dxa" w:w="2880"/>
          </w:tcPr>
          <w:p>
            <w:r/>
            <w:r>
              <w:rPr>
                <w:rFonts w:ascii="Arial" w:hAnsi="Arial" w:eastAsia="Arial"/>
                <w:b w:val="0"/>
                <w:i w:val="0"/>
                <w:color w:val="2A3140"/>
                <w:sz w:val="17"/>
              </w:rPr>
              <w:t>Capex</w:t>
            </w:r>
          </w:p>
        </w:tc>
        <w:tc>
          <w:tcPr>
            <w:tcW w:type="dxa" w:w="810"/>
          </w:tcPr>
          <w:p>
            <w:pPr>
              <w:jc w:val="right"/>
            </w:pPr>
            <w:r/>
            <w:r>
              <w:rPr>
                <w:rFonts w:ascii="Arial" w:hAnsi="Arial" w:eastAsia="Arial"/>
                <w:b w:val="0"/>
                <w:i w:val="0"/>
                <w:color w:val="2A3140"/>
                <w:sz w:val="17"/>
              </w:rPr>
              <w:t>(1,215.2)</w:t>
            </w:r>
          </w:p>
        </w:tc>
        <w:tc>
          <w:tcPr>
            <w:tcW w:type="dxa" w:w="810"/>
          </w:tcPr>
          <w:p>
            <w:pPr>
              <w:jc w:val="right"/>
            </w:pPr>
            <w:r/>
            <w:r>
              <w:rPr>
                <w:rFonts w:ascii="Arial" w:hAnsi="Arial" w:eastAsia="Arial"/>
                <w:b w:val="0"/>
                <w:i w:val="0"/>
                <w:color w:val="2A3140"/>
                <w:sz w:val="17"/>
              </w:rPr>
              <w:t>(3,497.7)</w:t>
            </w:r>
          </w:p>
        </w:tc>
        <w:tc>
          <w:tcPr>
            <w:tcW w:type="dxa" w:w="810"/>
          </w:tcPr>
          <w:p>
            <w:pPr>
              <w:jc w:val="right"/>
            </w:pPr>
            <w:r/>
            <w:r>
              <w:rPr>
                <w:rFonts w:ascii="Arial" w:hAnsi="Arial" w:eastAsia="Arial"/>
                <w:b w:val="0"/>
                <w:i w:val="0"/>
                <w:color w:val="2A3140"/>
                <w:sz w:val="17"/>
              </w:rPr>
              <w:t>(1,407.0)</w:t>
            </w:r>
          </w:p>
        </w:tc>
        <w:tc>
          <w:tcPr>
            <w:tcW w:type="dxa" w:w="810"/>
          </w:tcPr>
          <w:p>
            <w:pPr>
              <w:jc w:val="right"/>
            </w:pPr>
            <w:r/>
            <w:r>
              <w:rPr>
                <w:rFonts w:ascii="Arial" w:hAnsi="Arial" w:eastAsia="Arial"/>
                <w:b w:val="0"/>
                <w:i w:val="0"/>
                <w:color w:val="2A3140"/>
                <w:sz w:val="17"/>
              </w:rPr>
              <w:t>(2,453.0)</w:t>
            </w:r>
          </w:p>
        </w:tc>
        <w:tc>
          <w:tcPr>
            <w:tcW w:type="dxa" w:w="810"/>
          </w:tcPr>
          <w:p>
            <w:pPr>
              <w:jc w:val="right"/>
            </w:pPr>
            <w:r/>
            <w:r>
              <w:rPr>
                <w:rFonts w:ascii="Arial" w:hAnsi="Arial" w:eastAsia="Arial"/>
                <w:b w:val="0"/>
                <w:i w:val="0"/>
                <w:color w:val="2A3140"/>
                <w:sz w:val="17"/>
              </w:rPr>
              <w:t>(3,278.8)</w:t>
            </w:r>
          </w:p>
        </w:tc>
        <w:tc>
          <w:tcPr>
            <w:tcW w:type="dxa" w:w="810"/>
          </w:tcPr>
          <w:p>
            <w:pPr>
              <w:jc w:val="right"/>
            </w:pPr>
            <w:r/>
            <w:r>
              <w:rPr>
                <w:rFonts w:ascii="Arial" w:hAnsi="Arial" w:eastAsia="Arial"/>
                <w:b w:val="0"/>
                <w:i w:val="0"/>
                <w:color w:val="2A3140"/>
                <w:sz w:val="17"/>
              </w:rPr>
              <w:t>(4,059.8)</w:t>
            </w:r>
          </w:p>
        </w:tc>
        <w:tc>
          <w:tcPr>
            <w:tcW w:type="dxa" w:w="810"/>
          </w:tcPr>
          <w:p>
            <w:pPr>
              <w:jc w:val="right"/>
            </w:pPr>
            <w:r/>
            <w:r>
              <w:rPr>
                <w:rFonts w:ascii="Arial" w:hAnsi="Arial" w:eastAsia="Arial"/>
                <w:b w:val="0"/>
                <w:i w:val="0"/>
                <w:color w:val="2A3140"/>
                <w:sz w:val="17"/>
              </w:rPr>
              <w:t>(7,695.0)</w:t>
            </w:r>
          </w:p>
        </w:tc>
        <w:tc>
          <w:tcPr>
            <w:tcW w:type="dxa" w:w="810"/>
          </w:tcPr>
          <w:p>
            <w:pPr>
              <w:jc w:val="right"/>
            </w:pPr>
            <w:r/>
            <w:r>
              <w:rPr>
                <w:rFonts w:ascii="Arial" w:hAnsi="Arial" w:eastAsia="Arial"/>
                <w:b w:val="0"/>
                <w:i w:val="0"/>
                <w:color w:val="2A3140"/>
                <w:sz w:val="17"/>
              </w:rPr>
              <w:t>(6,422.0)</w:t>
            </w:r>
          </w:p>
        </w:tc>
      </w:tr>
    </w:tbl>
    <w:p/>
    <w:p>
      <w:r>
        <w:rPr>
          <w:rFonts w:ascii="Arial" w:hAnsi="Arial" w:eastAsia="Arial"/>
          <w:b w:val="0"/>
          <w:i/>
          <w:color w:val="2A3140"/>
          <w:sz w:val="21"/>
        </w:rPr>
        <w:t>Q4 capex values are derived as FY − 9M. Exhibit 2 reconciles quarters to the reported year-to-date figures. [S4]</w:t>
      </w:r>
    </w:p>
    <w:p>
      <w:pPr>
        <w:spacing w:before="240"/>
      </w:pPr>
      <w:r>
        <w:rPr>
          <w:rFonts w:ascii="Georgia" w:hAnsi="Georgia" w:eastAsia="Georgia"/>
          <w:b/>
          <w:i w:val="0"/>
          <w:color w:val="1E3A5F"/>
          <w:sz w:val="26"/>
        </w:rPr>
        <w:t>5. Sources and uses and pro forma capitalization</w:t>
      </w:r>
    </w:p>
    <w:p>
      <w:r>
        <w:rPr>
          <w:rFonts w:ascii="Arial" w:hAnsi="Arial" w:eastAsia="Arial"/>
          <w:b/>
          <w:i w:val="0"/>
          <w:color w:val="2A3140"/>
          <w:sz w:val="21"/>
        </w:rPr>
        <w:t>Exhibit 4 extract: illustrative SPV sources and uses at full draw</w:t>
      </w:r>
      <w:r>
        <w:rPr>
          <w:rFonts w:ascii="Arial" w:hAnsi="Arial" w:eastAsia="Arial"/>
          <w:b w:val="0"/>
          <w:i w:val="0"/>
          <w:color w:val="2A3140"/>
          <w:sz w:val="21"/>
        </w:rPr>
        <w:t xml:space="preserve"> ($ in millions; assumes the full $2.6bn is drawn at the 70% advance rate; fees under the fee letters are n/d)</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736"/>
        <w:gridCol w:w="2208"/>
        <w:gridCol w:w="2208"/>
        <w:gridCol w:w="2208"/>
      </w:tblGrid>
      <w:tr>
        <w:tc>
          <w:tcPr>
            <w:tcW w:type="dxa" w:w="2736"/>
            <w:shd w:val="clear" w:color="auto" w:fill="E4EAF3"/>
          </w:tcPr>
          <w:p>
            <w:r/>
            <w:r>
              <w:rPr>
                <w:rFonts w:ascii="Arial" w:hAnsi="Arial" w:eastAsia="Arial"/>
                <w:b/>
                <w:i w:val="0"/>
                <w:color w:val="121826"/>
                <w:sz w:val="17"/>
              </w:rPr>
              <w:t>Sources</w:t>
            </w:r>
          </w:p>
        </w:tc>
        <w:tc>
          <w:tcPr>
            <w:tcW w:type="dxa" w:w="2208"/>
            <w:shd w:val="clear" w:color="auto" w:fill="E4EAF3"/>
          </w:tcPr>
          <w:p>
            <w:r/>
            <w:r>
              <w:rPr>
                <w:rFonts w:ascii="Arial" w:hAnsi="Arial" w:eastAsia="Arial"/>
                <w:b/>
                <w:i w:val="0"/>
                <w:color w:val="121826"/>
                <w:sz w:val="17"/>
              </w:rPr>
              <w:t>$M</w:t>
            </w:r>
          </w:p>
        </w:tc>
        <w:tc>
          <w:tcPr>
            <w:tcW w:type="dxa" w:w="2208"/>
            <w:shd w:val="clear" w:color="auto" w:fill="E4EAF3"/>
          </w:tcPr>
          <w:p>
            <w:r/>
            <w:r>
              <w:rPr>
                <w:rFonts w:ascii="Arial" w:hAnsi="Arial" w:eastAsia="Arial"/>
                <w:b/>
                <w:i w:val="0"/>
                <w:color w:val="121826"/>
                <w:sz w:val="17"/>
              </w:rPr>
              <w:t>Uses</w:t>
            </w:r>
          </w:p>
        </w:tc>
        <w:tc>
          <w:tcPr>
            <w:tcW w:type="dxa" w:w="2208"/>
            <w:shd w:val="clear" w:color="auto" w:fill="E4EAF3"/>
          </w:tcPr>
          <w:p>
            <w:r/>
            <w:r>
              <w:rPr>
                <w:rFonts w:ascii="Arial" w:hAnsi="Arial" w:eastAsia="Arial"/>
                <w:b/>
                <w:i w:val="0"/>
                <w:color w:val="121826"/>
                <w:sz w:val="17"/>
              </w:rPr>
              <w:t>$M</w:t>
            </w:r>
          </w:p>
        </w:tc>
      </w:tr>
      <w:tr>
        <w:tc>
          <w:tcPr>
            <w:tcW w:type="dxa" w:w="2736"/>
          </w:tcPr>
          <w:p>
            <w:r/>
            <w:r>
              <w:rPr>
                <w:rFonts w:ascii="Arial" w:hAnsi="Arial" w:eastAsia="Arial"/>
                <w:b w:val="0"/>
                <w:i w:val="0"/>
                <w:color w:val="2A3140"/>
                <w:sz w:val="17"/>
              </w:rPr>
              <w:t>DDTL 5.5 Loans</w:t>
            </w:r>
          </w:p>
        </w:tc>
        <w:tc>
          <w:tcPr>
            <w:tcW w:type="dxa" w:w="2208"/>
          </w:tcPr>
          <w:p>
            <w:pPr>
              <w:jc w:val="right"/>
            </w:pPr>
            <w:r/>
            <w:r>
              <w:rPr>
                <w:rFonts w:ascii="Arial" w:hAnsi="Arial" w:eastAsia="Arial"/>
                <w:b w:val="0"/>
                <w:i w:val="0"/>
                <w:color w:val="2A3140"/>
                <w:sz w:val="17"/>
              </w:rPr>
              <w:t>2,600.0</w:t>
            </w:r>
          </w:p>
        </w:tc>
        <w:tc>
          <w:tcPr>
            <w:tcW w:type="dxa" w:w="2208"/>
          </w:tcPr>
          <w:p>
            <w:r/>
            <w:r>
              <w:rPr>
                <w:rFonts w:ascii="Arial" w:hAnsi="Arial" w:eastAsia="Arial"/>
                <w:b w:val="0"/>
                <w:i w:val="0"/>
                <w:color w:val="2A3140"/>
                <w:sz w:val="17"/>
              </w:rPr>
              <w:t>Funding Date Capital Expenditures (GPU servers, ancillary hardware, installation)</w:t>
            </w:r>
          </w:p>
        </w:tc>
        <w:tc>
          <w:tcPr>
            <w:tcW w:type="dxa" w:w="2208"/>
          </w:tcPr>
          <w:p>
            <w:pPr>
              <w:jc w:val="right"/>
            </w:pPr>
            <w:r/>
            <w:r>
              <w:rPr>
                <w:rFonts w:ascii="Arial" w:hAnsi="Arial" w:eastAsia="Arial"/>
                <w:b w:val="0"/>
                <w:i w:val="0"/>
                <w:color w:val="2A3140"/>
                <w:sz w:val="17"/>
              </w:rPr>
              <w:t>3,714.3</w:t>
            </w:r>
          </w:p>
        </w:tc>
      </w:tr>
      <w:tr>
        <w:tc>
          <w:tcPr>
            <w:tcW w:type="dxa" w:w="2736"/>
          </w:tcPr>
          <w:p>
            <w:r/>
            <w:r>
              <w:rPr>
                <w:rFonts w:ascii="Arial" w:hAnsi="Arial" w:eastAsia="Arial"/>
                <w:b w:val="0"/>
                <w:i w:val="0"/>
                <w:color w:val="2A3140"/>
                <w:sz w:val="17"/>
              </w:rPr>
              <w:t>CoreWeave equity (balancing item)</w:t>
            </w:r>
          </w:p>
        </w:tc>
        <w:tc>
          <w:tcPr>
            <w:tcW w:type="dxa" w:w="2208"/>
          </w:tcPr>
          <w:p>
            <w:pPr>
              <w:jc w:val="right"/>
            </w:pPr>
            <w:r/>
            <w:r>
              <w:rPr>
                <w:rFonts w:ascii="Arial" w:hAnsi="Arial" w:eastAsia="Arial"/>
                <w:b w:val="0"/>
                <w:i w:val="0"/>
                <w:color w:val="2A3140"/>
                <w:sz w:val="17"/>
              </w:rPr>
              <w:t>1,114.3</w:t>
            </w:r>
          </w:p>
        </w:tc>
        <w:tc>
          <w:tcPr>
            <w:tcW w:type="dxa" w:w="2208"/>
          </w:tcPr>
          <w:p>
            <w:r/>
            <w:r>
              <w:rPr>
                <w:rFonts w:ascii="Arial" w:hAnsi="Arial" w:eastAsia="Arial"/>
                <w:b w:val="0"/>
                <w:i w:val="0"/>
                <w:color w:val="2A3140"/>
                <w:sz w:val="17"/>
              </w:rPr>
              <w:t>Liquidity Requirement (cash or letter of credit)</w:t>
            </w:r>
          </w:p>
        </w:tc>
        <w:tc>
          <w:tcPr>
            <w:tcW w:type="dxa" w:w="2208"/>
          </w:tcPr>
          <w:p>
            <w:pPr>
              <w:jc w:val="right"/>
            </w:pPr>
            <w:r/>
            <w:r>
              <w:rPr>
                <w:rFonts w:ascii="Arial" w:hAnsi="Arial" w:eastAsia="Arial"/>
                <w:b w:val="0"/>
                <w:i w:val="0"/>
                <w:color w:val="2A3140"/>
                <w:sz w:val="17"/>
              </w:rPr>
              <w:t>112.5</w:t>
            </w:r>
          </w:p>
        </w:tc>
      </w:tr>
      <w:tr>
        <w:tc>
          <w:tcPr>
            <w:tcW w:type="dxa" w:w="2736"/>
          </w:tcPr>
          <w:p>
            <w:r/>
            <w:r>
              <w:rPr>
                <w:rFonts w:ascii="Arial" w:hAnsi="Arial" w:eastAsia="Arial"/>
                <w:b w:val="0"/>
                <w:i w:val="0"/>
                <w:color w:val="2A3140"/>
                <w:sz w:val="17"/>
              </w:rPr>
              <w:t>CoreWeave contribution for the Liquidity Requirement</w:t>
            </w:r>
          </w:p>
        </w:tc>
        <w:tc>
          <w:tcPr>
            <w:tcW w:type="dxa" w:w="2208"/>
          </w:tcPr>
          <w:p>
            <w:pPr>
              <w:jc w:val="right"/>
            </w:pPr>
            <w:r/>
            <w:r>
              <w:rPr>
                <w:rFonts w:ascii="Arial" w:hAnsi="Arial" w:eastAsia="Arial"/>
                <w:b w:val="0"/>
                <w:i w:val="0"/>
                <w:color w:val="2A3140"/>
                <w:sz w:val="17"/>
              </w:rPr>
              <w:t>112.5</w:t>
            </w:r>
          </w:p>
        </w:tc>
        <w:tc>
          <w:tcPr>
            <w:tcW w:type="dxa" w:w="2208"/>
          </w:tcPr>
          <w:p>
            <w:r/>
          </w:p>
        </w:tc>
        <w:tc>
          <w:tcPr>
            <w:tcW w:type="dxa" w:w="2208"/>
          </w:tcPr>
          <w:p>
            <w:r/>
          </w:p>
        </w:tc>
      </w:tr>
      <w:tr>
        <w:tc>
          <w:tcPr>
            <w:tcW w:type="dxa" w:w="2736"/>
          </w:tcPr>
          <w:p>
            <w:r/>
            <w:r>
              <w:rPr>
                <w:rFonts w:ascii="Arial" w:hAnsi="Arial" w:eastAsia="Arial"/>
                <w:b/>
                <w:i w:val="0"/>
                <w:color w:val="2A3140"/>
                <w:sz w:val="17"/>
              </w:rPr>
              <w:t>Total sources</w:t>
            </w:r>
          </w:p>
        </w:tc>
        <w:tc>
          <w:tcPr>
            <w:tcW w:type="dxa" w:w="2208"/>
          </w:tcPr>
          <w:p>
            <w:pPr>
              <w:jc w:val="right"/>
            </w:pPr>
            <w:r/>
            <w:r>
              <w:rPr>
                <w:rFonts w:ascii="Arial" w:hAnsi="Arial" w:eastAsia="Arial"/>
                <w:b/>
                <w:i w:val="0"/>
                <w:color w:val="2A3140"/>
                <w:sz w:val="17"/>
              </w:rPr>
              <w:t>3,826.8</w:t>
            </w:r>
          </w:p>
        </w:tc>
        <w:tc>
          <w:tcPr>
            <w:tcW w:type="dxa" w:w="2208"/>
          </w:tcPr>
          <w:p>
            <w:r/>
            <w:r>
              <w:rPr>
                <w:rFonts w:ascii="Arial" w:hAnsi="Arial" w:eastAsia="Arial"/>
                <w:b/>
                <w:i w:val="0"/>
                <w:color w:val="2A3140"/>
                <w:sz w:val="17"/>
              </w:rPr>
              <w:t>Total uses</w:t>
            </w:r>
          </w:p>
        </w:tc>
        <w:tc>
          <w:tcPr>
            <w:tcW w:type="dxa" w:w="2208"/>
          </w:tcPr>
          <w:p>
            <w:pPr>
              <w:jc w:val="right"/>
            </w:pPr>
            <w:r/>
            <w:r>
              <w:rPr>
                <w:rFonts w:ascii="Arial" w:hAnsi="Arial" w:eastAsia="Arial"/>
                <w:b/>
                <w:i w:val="0"/>
                <w:color w:val="2A3140"/>
                <w:sz w:val="17"/>
              </w:rPr>
              <w:t>3,826.8</w:t>
            </w:r>
          </w:p>
        </w:tc>
      </w:tr>
    </w:tbl>
    <w:p/>
    <w:p>
      <w:r>
        <w:rPr>
          <w:rFonts w:ascii="Arial" w:hAnsi="Arial" w:eastAsia="Arial"/>
          <w:b/>
          <w:i w:val="0"/>
          <w:color w:val="2A3140"/>
          <w:sz w:val="21"/>
        </w:rPr>
        <w:t>Exhibit 4 extract: proposed settlement (HYPOTHETICAL)</w:t>
      </w:r>
      <w:r>
        <w:rPr>
          <w:rFonts w:ascii="Arial" w:hAnsi="Arial" w:eastAsia="Arial"/>
          <w:b w:val="0"/>
          <w:i w:val="0"/>
          <w:color w:val="2A3140"/>
          <w:sz w:val="21"/>
        </w:rPr>
        <w:t xml:space="preserve"> ($ in millions; price 99.50 applied to the full $250.0M commitment)</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736"/>
        <w:gridCol w:w="2208"/>
        <w:gridCol w:w="2208"/>
        <w:gridCol w:w="2208"/>
      </w:tblGrid>
      <w:tr>
        <w:tc>
          <w:tcPr>
            <w:tcW w:type="dxa" w:w="2736"/>
            <w:shd w:val="clear" w:color="auto" w:fill="E4EAF3"/>
          </w:tcPr>
          <w:p>
            <w:r/>
            <w:r>
              <w:rPr>
                <w:rFonts w:ascii="Arial" w:hAnsi="Arial" w:eastAsia="Arial"/>
                <w:b/>
                <w:i w:val="0"/>
                <w:color w:val="121826"/>
                <w:sz w:val="17"/>
              </w:rPr>
              <w:t>Sources</w:t>
            </w:r>
          </w:p>
        </w:tc>
        <w:tc>
          <w:tcPr>
            <w:tcW w:type="dxa" w:w="2208"/>
            <w:shd w:val="clear" w:color="auto" w:fill="E4EAF3"/>
          </w:tcPr>
          <w:p>
            <w:r/>
            <w:r>
              <w:rPr>
                <w:rFonts w:ascii="Arial" w:hAnsi="Arial" w:eastAsia="Arial"/>
                <w:b/>
                <w:i w:val="0"/>
                <w:color w:val="121826"/>
                <w:sz w:val="17"/>
              </w:rPr>
              <w:t>$M</w:t>
            </w:r>
          </w:p>
        </w:tc>
        <w:tc>
          <w:tcPr>
            <w:tcW w:type="dxa" w:w="2208"/>
            <w:shd w:val="clear" w:color="auto" w:fill="E4EAF3"/>
          </w:tcPr>
          <w:p>
            <w:r/>
            <w:r>
              <w:rPr>
                <w:rFonts w:ascii="Arial" w:hAnsi="Arial" w:eastAsia="Arial"/>
                <w:b/>
                <w:i w:val="0"/>
                <w:color w:val="121826"/>
                <w:sz w:val="17"/>
              </w:rPr>
              <w:t>Uses</w:t>
            </w:r>
          </w:p>
        </w:tc>
        <w:tc>
          <w:tcPr>
            <w:tcW w:type="dxa" w:w="2208"/>
            <w:shd w:val="clear" w:color="auto" w:fill="E4EAF3"/>
          </w:tcPr>
          <w:p>
            <w:r/>
            <w:r>
              <w:rPr>
                <w:rFonts w:ascii="Arial" w:hAnsi="Arial" w:eastAsia="Arial"/>
                <w:b/>
                <w:i w:val="0"/>
                <w:color w:val="121826"/>
                <w:sz w:val="17"/>
              </w:rPr>
              <w:t>$M</w:t>
            </w:r>
          </w:p>
        </w:tc>
      </w:tr>
      <w:tr>
        <w:tc>
          <w:tcPr>
            <w:tcW w:type="dxa" w:w="2736"/>
          </w:tcPr>
          <w:p>
            <w:r/>
            <w:r>
              <w:rPr>
                <w:rFonts w:ascii="Arial" w:hAnsi="Arial" w:eastAsia="Arial"/>
                <w:b w:val="0"/>
                <w:i w:val="0"/>
                <w:color w:val="2A3140"/>
                <w:sz w:val="17"/>
              </w:rPr>
              <w:t>Tamsin cash paid at settlement</w:t>
            </w:r>
          </w:p>
        </w:tc>
        <w:tc>
          <w:tcPr>
            <w:tcW w:type="dxa" w:w="2208"/>
          </w:tcPr>
          <w:p>
            <w:pPr>
              <w:jc w:val="right"/>
            </w:pPr>
            <w:r/>
            <w:r>
              <w:rPr>
                <w:rFonts w:ascii="Arial" w:hAnsi="Arial" w:eastAsia="Arial"/>
                <w:b w:val="0"/>
                <w:i w:val="0"/>
                <w:color w:val="2A3140"/>
                <w:sz w:val="17"/>
              </w:rPr>
              <w:t>114.1</w:t>
            </w:r>
          </w:p>
        </w:tc>
        <w:tc>
          <w:tcPr>
            <w:tcW w:type="dxa" w:w="2208"/>
          </w:tcPr>
          <w:p>
            <w:r/>
            <w:r>
              <w:rPr>
                <w:rFonts w:ascii="Arial" w:hAnsi="Arial" w:eastAsia="Arial"/>
                <w:b w:val="0"/>
                <w:i w:val="0"/>
                <w:color w:val="2A3140"/>
                <w:sz w:val="17"/>
              </w:rPr>
              <w:t>Funded Loans acquired at par (pro rata to the $1.2bn drawn)</w:t>
            </w:r>
          </w:p>
        </w:tc>
        <w:tc>
          <w:tcPr>
            <w:tcW w:type="dxa" w:w="2208"/>
          </w:tcPr>
          <w:p>
            <w:pPr>
              <w:jc w:val="right"/>
            </w:pPr>
            <w:r/>
            <w:r>
              <w:rPr>
                <w:rFonts w:ascii="Arial" w:hAnsi="Arial" w:eastAsia="Arial"/>
                <w:b w:val="0"/>
                <w:i w:val="0"/>
                <w:color w:val="2A3140"/>
                <w:sz w:val="17"/>
              </w:rPr>
              <w:t>115.4</w:t>
            </w:r>
          </w:p>
        </w:tc>
      </w:tr>
      <w:tr>
        <w:tc>
          <w:tcPr>
            <w:tcW w:type="dxa" w:w="2736"/>
          </w:tcPr>
          <w:p>
            <w:r/>
            <w:r>
              <w:rPr>
                <w:rFonts w:ascii="Arial" w:hAnsi="Arial" w:eastAsia="Arial"/>
                <w:b w:val="0"/>
                <w:i w:val="0"/>
                <w:color w:val="2A3140"/>
                <w:sz w:val="17"/>
              </w:rPr>
              <w:t>Discount credited by the seller (0.50 points × $250.0M)</w:t>
            </w:r>
          </w:p>
        </w:tc>
        <w:tc>
          <w:tcPr>
            <w:tcW w:type="dxa" w:w="2208"/>
          </w:tcPr>
          <w:p>
            <w:pPr>
              <w:jc w:val="right"/>
            </w:pPr>
            <w:r/>
            <w:r>
              <w:rPr>
                <w:rFonts w:ascii="Arial" w:hAnsi="Arial" w:eastAsia="Arial"/>
                <w:b w:val="0"/>
                <w:i w:val="0"/>
                <w:color w:val="2A3140"/>
                <w:sz w:val="17"/>
              </w:rPr>
              <w:t>1.25</w:t>
            </w:r>
          </w:p>
        </w:tc>
        <w:tc>
          <w:tcPr>
            <w:tcW w:type="dxa" w:w="2208"/>
          </w:tcPr>
          <w:p>
            <w:r/>
          </w:p>
        </w:tc>
        <w:tc>
          <w:tcPr>
            <w:tcW w:type="dxa" w:w="2208"/>
          </w:tcPr>
          <w:p>
            <w:r/>
          </w:p>
        </w:tc>
      </w:tr>
      <w:tr>
        <w:tc>
          <w:tcPr>
            <w:tcW w:type="dxa" w:w="2736"/>
          </w:tcPr>
          <w:p>
            <w:r/>
            <w:r>
              <w:rPr>
                <w:rFonts w:ascii="Arial" w:hAnsi="Arial" w:eastAsia="Arial"/>
                <w:b/>
                <w:i w:val="0"/>
                <w:color w:val="2A3140"/>
                <w:sz w:val="17"/>
              </w:rPr>
              <w:t>Total</w:t>
            </w:r>
          </w:p>
        </w:tc>
        <w:tc>
          <w:tcPr>
            <w:tcW w:type="dxa" w:w="2208"/>
          </w:tcPr>
          <w:p>
            <w:pPr>
              <w:jc w:val="right"/>
            </w:pPr>
            <w:r/>
            <w:r>
              <w:rPr>
                <w:rFonts w:ascii="Arial" w:hAnsi="Arial" w:eastAsia="Arial"/>
                <w:b/>
                <w:i w:val="0"/>
                <w:color w:val="2A3140"/>
                <w:sz w:val="17"/>
              </w:rPr>
              <w:t>115.4</w:t>
            </w:r>
          </w:p>
        </w:tc>
        <w:tc>
          <w:tcPr>
            <w:tcW w:type="dxa" w:w="2208"/>
          </w:tcPr>
          <w:p>
            <w:r/>
            <w:r>
              <w:rPr>
                <w:rFonts w:ascii="Arial" w:hAnsi="Arial" w:eastAsia="Arial"/>
                <w:b/>
                <w:i w:val="0"/>
                <w:color w:val="2A3140"/>
                <w:sz w:val="17"/>
              </w:rPr>
              <w:t>Total</w:t>
            </w:r>
          </w:p>
        </w:tc>
        <w:tc>
          <w:tcPr>
            <w:tcW w:type="dxa" w:w="2208"/>
          </w:tcPr>
          <w:p>
            <w:pPr>
              <w:jc w:val="right"/>
            </w:pPr>
            <w:r/>
            <w:r>
              <w:rPr>
                <w:rFonts w:ascii="Arial" w:hAnsi="Arial" w:eastAsia="Arial"/>
                <w:b/>
                <w:i w:val="0"/>
                <w:color w:val="2A3140"/>
                <w:sz w:val="17"/>
              </w:rPr>
              <w:t>115.4</w:t>
            </w:r>
          </w:p>
        </w:tc>
      </w:tr>
    </w:tbl>
    <w:p/>
    <w:p>
      <w:r>
        <w:rPr>
          <w:rFonts w:ascii="Arial" w:hAnsi="Arial" w:eastAsia="Arial"/>
          <w:b w:val="0"/>
          <w:i w:val="0"/>
          <w:color w:val="2A3140"/>
          <w:sz w:val="21"/>
        </w:rPr>
        <w:t>Tamsin would also assume $134.6M of unfunded commitments, earning the 0.50% undrawn fee until they are drawn or expire on 31 Dec 2026. The actual drawn amount at settlement is n/d; the funded share above is pro rata to the last disclosed draw.</w:t>
      </w:r>
    </w:p>
    <w:p>
      <w:r>
        <w:rPr>
          <w:rFonts w:ascii="Arial" w:hAnsi="Arial" w:eastAsia="Arial"/>
          <w:b/>
          <w:i w:val="0"/>
          <w:color w:val="2A3140"/>
          <w:sz w:val="21"/>
        </w:rPr>
        <w:t>Exhibit 3 extract: CoreWeave pro forma capitalization</w:t>
      </w:r>
      <w:r>
        <w:rPr>
          <w:rFonts w:ascii="Arial" w:hAnsi="Arial" w:eastAsia="Arial"/>
          <w:b w:val="0"/>
          <w:i w:val="0"/>
          <w:color w:val="2A3140"/>
          <w:sz w:val="21"/>
        </w:rPr>
        <w:t xml:space="preserve"> ($ in millions; principal at 30 Jun 2026 plus disclosed subsequent events only; LTM Jun-26 Adjusted EBITDA $4,400.0M)</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880"/>
        <w:gridCol w:w="1296"/>
        <w:gridCol w:w="1296"/>
        <w:gridCol w:w="1296"/>
        <w:gridCol w:w="1296"/>
        <w:gridCol w:w="1296"/>
      </w:tblGrid>
      <w:tr>
        <w:tc>
          <w:tcPr>
            <w:tcW w:type="dxa" w:w="2880"/>
            <w:shd w:val="clear" w:color="auto" w:fill="E4EAF3"/>
          </w:tcPr>
          <w:p>
            <w:r/>
            <w:r>
              <w:rPr>
                <w:rFonts w:ascii="Arial" w:hAnsi="Arial" w:eastAsia="Arial"/>
                <w:b/>
                <w:i w:val="0"/>
                <w:color w:val="121826"/>
                <w:sz w:val="17"/>
              </w:rPr>
              <w:t>Tranche group</w:t>
            </w:r>
          </w:p>
        </w:tc>
        <w:tc>
          <w:tcPr>
            <w:tcW w:type="dxa" w:w="1296"/>
            <w:shd w:val="clear" w:color="auto" w:fill="E4EAF3"/>
          </w:tcPr>
          <w:p>
            <w:r/>
            <w:r>
              <w:rPr>
                <w:rFonts w:ascii="Arial" w:hAnsi="Arial" w:eastAsia="Arial"/>
                <w:b/>
                <w:i w:val="0"/>
                <w:color w:val="121826"/>
                <w:sz w:val="17"/>
              </w:rPr>
              <w:t>Jun-26A</w:t>
            </w:r>
          </w:p>
        </w:tc>
        <w:tc>
          <w:tcPr>
            <w:tcW w:type="dxa" w:w="1296"/>
            <w:shd w:val="clear" w:color="auto" w:fill="E4EAF3"/>
          </w:tcPr>
          <w:p>
            <w:r/>
            <w:r>
              <w:rPr>
                <w:rFonts w:ascii="Arial" w:hAnsi="Arial" w:eastAsia="Arial"/>
                <w:b/>
                <w:i w:val="0"/>
                <w:color w:val="121826"/>
                <w:sz w:val="17"/>
              </w:rPr>
              <w:t>Subsequent events</w:t>
            </w:r>
          </w:p>
        </w:tc>
        <w:tc>
          <w:tcPr>
            <w:tcW w:type="dxa" w:w="1296"/>
            <w:shd w:val="clear" w:color="auto" w:fill="E4EAF3"/>
          </w:tcPr>
          <w:p>
            <w:r/>
            <w:r>
              <w:rPr>
                <w:rFonts w:ascii="Arial" w:hAnsi="Arial" w:eastAsia="Arial"/>
                <w:b/>
                <w:i w:val="0"/>
                <w:color w:val="121826"/>
                <w:sz w:val="17"/>
              </w:rPr>
              <w:t>Pro forma</w:t>
            </w:r>
          </w:p>
        </w:tc>
        <w:tc>
          <w:tcPr>
            <w:tcW w:type="dxa" w:w="1296"/>
            <w:shd w:val="clear" w:color="auto" w:fill="E4EAF3"/>
          </w:tcPr>
          <w:p>
            <w:r/>
            <w:r>
              <w:rPr>
                <w:rFonts w:ascii="Arial" w:hAnsi="Arial" w:eastAsia="Arial"/>
                <w:b/>
                <w:i w:val="0"/>
                <w:color w:val="121826"/>
                <w:sz w:val="17"/>
              </w:rPr>
              <w:t>× LTM Adj. EBITDA</w:t>
            </w:r>
          </w:p>
        </w:tc>
        <w:tc>
          <w:tcPr>
            <w:tcW w:type="dxa" w:w="1296"/>
            <w:shd w:val="clear" w:color="auto" w:fill="E4EAF3"/>
          </w:tcPr>
          <w:p>
            <w:r/>
            <w:r>
              <w:rPr>
                <w:rFonts w:ascii="Arial" w:hAnsi="Arial" w:eastAsia="Arial"/>
                <w:b/>
                <w:i w:val="0"/>
                <w:color w:val="121826"/>
                <w:sz w:val="17"/>
              </w:rPr>
              <w:t>Cumulative ×</w:t>
            </w:r>
          </w:p>
        </w:tc>
      </w:tr>
      <w:tr>
        <w:tc>
          <w:tcPr>
            <w:tcW w:type="dxa" w:w="2880"/>
          </w:tcPr>
          <w:p>
            <w:r/>
            <w:r>
              <w:rPr>
                <w:rFonts w:ascii="Arial" w:hAnsi="Arial" w:eastAsia="Arial"/>
                <w:b w:val="0"/>
                <w:i w:val="0"/>
                <w:color w:val="2A3140"/>
                <w:sz w:val="17"/>
              </w:rPr>
              <w:t>Non-recourse SPV debt (DDTL 4.0, OEM)</w:t>
            </w:r>
          </w:p>
        </w:tc>
        <w:tc>
          <w:tcPr>
            <w:tcW w:type="dxa" w:w="1296"/>
          </w:tcPr>
          <w:p>
            <w:pPr>
              <w:jc w:val="right"/>
            </w:pPr>
            <w:r/>
            <w:r>
              <w:rPr>
                <w:rFonts w:ascii="Arial" w:hAnsi="Arial" w:eastAsia="Arial"/>
                <w:b w:val="0"/>
                <w:i w:val="0"/>
                <w:color w:val="2A3140"/>
                <w:sz w:val="17"/>
              </w:rPr>
              <w:t>3,719.0</w:t>
            </w:r>
          </w:p>
        </w:tc>
        <w:tc>
          <w:tcPr>
            <w:tcW w:type="dxa" w:w="1296"/>
          </w:tcPr>
          <w:p>
            <w:pPr>
              <w:jc w:val="right"/>
            </w:pPr>
            <w:r/>
            <w:r>
              <w:rPr>
                <w:rFonts w:ascii="Arial" w:hAnsi="Arial" w:eastAsia="Arial"/>
                <w:b w:val="0"/>
                <w:i w:val="0"/>
                <w:color w:val="2A3140"/>
                <w:sz w:val="17"/>
              </w:rPr>
              <w:t>0.0</w:t>
            </w:r>
          </w:p>
        </w:tc>
        <w:tc>
          <w:tcPr>
            <w:tcW w:type="dxa" w:w="1296"/>
          </w:tcPr>
          <w:p>
            <w:pPr>
              <w:jc w:val="right"/>
            </w:pPr>
            <w:r/>
            <w:r>
              <w:rPr>
                <w:rFonts w:ascii="Arial" w:hAnsi="Arial" w:eastAsia="Arial"/>
                <w:b w:val="0"/>
                <w:i w:val="0"/>
                <w:color w:val="2A3140"/>
                <w:sz w:val="17"/>
              </w:rPr>
              <w:t>3,719.0</w:t>
            </w:r>
          </w:p>
        </w:tc>
        <w:tc>
          <w:tcPr>
            <w:tcW w:type="dxa" w:w="1296"/>
          </w:tcPr>
          <w:p>
            <w:pPr>
              <w:jc w:val="right"/>
            </w:pPr>
            <w:r/>
            <w:r>
              <w:rPr>
                <w:rFonts w:ascii="Arial" w:hAnsi="Arial" w:eastAsia="Arial"/>
                <w:b w:val="0"/>
                <w:i w:val="0"/>
                <w:color w:val="2A3140"/>
                <w:sz w:val="17"/>
              </w:rPr>
              <w:t>0.8x</w:t>
            </w:r>
          </w:p>
        </w:tc>
        <w:tc>
          <w:tcPr>
            <w:tcW w:type="dxa" w:w="1296"/>
          </w:tcPr>
          <w:p>
            <w:pPr>
              <w:jc w:val="right"/>
            </w:pPr>
            <w:r/>
            <w:r>
              <w:rPr>
                <w:rFonts w:ascii="Arial" w:hAnsi="Arial" w:eastAsia="Arial"/>
                <w:b w:val="0"/>
                <w:i w:val="0"/>
                <w:color w:val="2A3140"/>
                <w:sz w:val="17"/>
              </w:rPr>
              <w:t>0.8x</w:t>
            </w:r>
          </w:p>
        </w:tc>
      </w:tr>
      <w:tr>
        <w:tc>
          <w:tcPr>
            <w:tcW w:type="dxa" w:w="2880"/>
          </w:tcPr>
          <w:p>
            <w:r/>
            <w:r>
              <w:rPr>
                <w:rFonts w:ascii="Arial" w:hAnsi="Arial" w:eastAsia="Arial"/>
                <w:b w:val="0"/>
                <w:i w:val="0"/>
                <w:color w:val="2A3140"/>
                <w:sz w:val="17"/>
              </w:rPr>
              <w:t>Parent-guaranteed SPV delayed-draw term loans</w:t>
            </w:r>
          </w:p>
        </w:tc>
        <w:tc>
          <w:tcPr>
            <w:tcW w:type="dxa" w:w="1296"/>
          </w:tcPr>
          <w:p>
            <w:pPr>
              <w:jc w:val="right"/>
            </w:pPr>
            <w:r/>
            <w:r>
              <w:rPr>
                <w:rFonts w:ascii="Arial" w:hAnsi="Arial" w:eastAsia="Arial"/>
                <w:b w:val="0"/>
                <w:i w:val="0"/>
                <w:color w:val="2A3140"/>
                <w:sz w:val="17"/>
              </w:rPr>
              <w:t>10,806.0</w:t>
            </w:r>
          </w:p>
        </w:tc>
        <w:tc>
          <w:tcPr>
            <w:tcW w:type="dxa" w:w="1296"/>
          </w:tcPr>
          <w:p>
            <w:pPr>
              <w:jc w:val="right"/>
            </w:pPr>
            <w:r/>
            <w:r>
              <w:rPr>
                <w:rFonts w:ascii="Arial" w:hAnsi="Arial" w:eastAsia="Arial"/>
                <w:b w:val="0"/>
                <w:i w:val="0"/>
                <w:color w:val="2A3140"/>
                <w:sz w:val="17"/>
              </w:rPr>
              <w:t>1,200.0</w:t>
            </w:r>
          </w:p>
        </w:tc>
        <w:tc>
          <w:tcPr>
            <w:tcW w:type="dxa" w:w="1296"/>
          </w:tcPr>
          <w:p>
            <w:pPr>
              <w:jc w:val="right"/>
            </w:pPr>
            <w:r/>
            <w:r>
              <w:rPr>
                <w:rFonts w:ascii="Arial" w:hAnsi="Arial" w:eastAsia="Arial"/>
                <w:b w:val="0"/>
                <w:i w:val="0"/>
                <w:color w:val="2A3140"/>
                <w:sz w:val="17"/>
              </w:rPr>
              <w:t>12,006.0</w:t>
            </w:r>
          </w:p>
        </w:tc>
        <w:tc>
          <w:tcPr>
            <w:tcW w:type="dxa" w:w="1296"/>
          </w:tcPr>
          <w:p>
            <w:pPr>
              <w:jc w:val="right"/>
            </w:pPr>
            <w:r/>
            <w:r>
              <w:rPr>
                <w:rFonts w:ascii="Arial" w:hAnsi="Arial" w:eastAsia="Arial"/>
                <w:b w:val="0"/>
                <w:i w:val="0"/>
                <w:color w:val="2A3140"/>
                <w:sz w:val="17"/>
              </w:rPr>
              <w:t>2.7x</w:t>
            </w:r>
          </w:p>
        </w:tc>
        <w:tc>
          <w:tcPr>
            <w:tcW w:type="dxa" w:w="1296"/>
          </w:tcPr>
          <w:p>
            <w:pPr>
              <w:jc w:val="right"/>
            </w:pPr>
            <w:r/>
            <w:r>
              <w:rPr>
                <w:rFonts w:ascii="Arial" w:hAnsi="Arial" w:eastAsia="Arial"/>
                <w:b w:val="0"/>
                <w:i w:val="0"/>
                <w:color w:val="2A3140"/>
                <w:sz w:val="17"/>
              </w:rPr>
              <w:t>3.6x</w:t>
            </w:r>
          </w:p>
        </w:tc>
      </w:tr>
      <w:tr>
        <w:tc>
          <w:tcPr>
            <w:tcW w:type="dxa" w:w="2880"/>
          </w:tcPr>
          <w:p>
            <w:r/>
            <w:r>
              <w:rPr>
                <w:rFonts w:ascii="Arial" w:hAnsi="Arial" w:eastAsia="Arial"/>
                <w:b w:val="0"/>
                <w:i w:val="0"/>
                <w:color w:val="2A3140"/>
                <w:sz w:val="17"/>
              </w:rPr>
              <w:t>Other secured and OEM recourse debt (RCF, OEM, Magnetar)</w:t>
            </w:r>
          </w:p>
        </w:tc>
        <w:tc>
          <w:tcPr>
            <w:tcW w:type="dxa" w:w="1296"/>
          </w:tcPr>
          <w:p>
            <w:pPr>
              <w:jc w:val="right"/>
            </w:pPr>
            <w:r/>
            <w:r>
              <w:rPr>
                <w:rFonts w:ascii="Arial" w:hAnsi="Arial" w:eastAsia="Arial"/>
                <w:b w:val="0"/>
                <w:i w:val="0"/>
                <w:color w:val="2A3140"/>
                <w:sz w:val="17"/>
              </w:rPr>
              <w:t>4,409.0</w:t>
            </w:r>
          </w:p>
        </w:tc>
        <w:tc>
          <w:tcPr>
            <w:tcW w:type="dxa" w:w="1296"/>
          </w:tcPr>
          <w:p>
            <w:pPr>
              <w:jc w:val="right"/>
            </w:pPr>
            <w:r/>
            <w:r>
              <w:rPr>
                <w:rFonts w:ascii="Arial" w:hAnsi="Arial" w:eastAsia="Arial"/>
                <w:b w:val="0"/>
                <w:i w:val="0"/>
                <w:color w:val="2A3140"/>
                <w:sz w:val="17"/>
              </w:rPr>
              <w:t>1,200.0</w:t>
            </w:r>
          </w:p>
        </w:tc>
        <w:tc>
          <w:tcPr>
            <w:tcW w:type="dxa" w:w="1296"/>
          </w:tcPr>
          <w:p>
            <w:pPr>
              <w:jc w:val="right"/>
            </w:pPr>
            <w:r/>
            <w:r>
              <w:rPr>
                <w:rFonts w:ascii="Arial" w:hAnsi="Arial" w:eastAsia="Arial"/>
                <w:b w:val="0"/>
                <w:i w:val="0"/>
                <w:color w:val="2A3140"/>
                <w:sz w:val="17"/>
              </w:rPr>
              <w:t>5,609.0</w:t>
            </w:r>
          </w:p>
        </w:tc>
        <w:tc>
          <w:tcPr>
            <w:tcW w:type="dxa" w:w="1296"/>
          </w:tcPr>
          <w:p>
            <w:pPr>
              <w:jc w:val="right"/>
            </w:pPr>
            <w:r/>
            <w:r>
              <w:rPr>
                <w:rFonts w:ascii="Arial" w:hAnsi="Arial" w:eastAsia="Arial"/>
                <w:b w:val="0"/>
                <w:i w:val="0"/>
                <w:color w:val="2A3140"/>
                <w:sz w:val="17"/>
              </w:rPr>
              <w:t>1.3x</w:t>
            </w:r>
          </w:p>
        </w:tc>
        <w:tc>
          <w:tcPr>
            <w:tcW w:type="dxa" w:w="1296"/>
          </w:tcPr>
          <w:p>
            <w:pPr>
              <w:jc w:val="right"/>
            </w:pPr>
            <w:r/>
            <w:r>
              <w:rPr>
                <w:rFonts w:ascii="Arial" w:hAnsi="Arial" w:eastAsia="Arial"/>
                <w:b w:val="0"/>
                <w:i w:val="0"/>
                <w:color w:val="2A3140"/>
                <w:sz w:val="17"/>
              </w:rPr>
              <w:t>4.8x</w:t>
            </w:r>
          </w:p>
        </w:tc>
      </w:tr>
      <w:tr>
        <w:tc>
          <w:tcPr>
            <w:tcW w:type="dxa" w:w="2880"/>
          </w:tcPr>
          <w:p>
            <w:r/>
            <w:r>
              <w:rPr>
                <w:rFonts w:ascii="Arial" w:hAnsi="Arial" w:eastAsia="Arial"/>
                <w:b w:val="0"/>
                <w:i w:val="0"/>
                <w:color w:val="2A3140"/>
                <w:sz w:val="17"/>
              </w:rPr>
              <w:t>Senior unsecured notes</w:t>
            </w:r>
          </w:p>
        </w:tc>
        <w:tc>
          <w:tcPr>
            <w:tcW w:type="dxa" w:w="1296"/>
          </w:tcPr>
          <w:p>
            <w:pPr>
              <w:jc w:val="right"/>
            </w:pPr>
            <w:r/>
            <w:r>
              <w:rPr>
                <w:rFonts w:ascii="Arial" w:hAnsi="Arial" w:eastAsia="Arial"/>
                <w:b w:val="0"/>
                <w:i w:val="0"/>
                <w:color w:val="2A3140"/>
                <w:sz w:val="17"/>
              </w:rPr>
              <w:t>10,029.0</w:t>
            </w:r>
          </w:p>
        </w:tc>
        <w:tc>
          <w:tcPr>
            <w:tcW w:type="dxa" w:w="1296"/>
          </w:tcPr>
          <w:p>
            <w:pPr>
              <w:jc w:val="right"/>
            </w:pPr>
            <w:r/>
            <w:r>
              <w:rPr>
                <w:rFonts w:ascii="Arial" w:hAnsi="Arial" w:eastAsia="Arial"/>
                <w:b w:val="0"/>
                <w:i w:val="0"/>
                <w:color w:val="2A3140"/>
                <w:sz w:val="17"/>
              </w:rPr>
              <w:t>0.0</w:t>
            </w:r>
          </w:p>
        </w:tc>
        <w:tc>
          <w:tcPr>
            <w:tcW w:type="dxa" w:w="1296"/>
          </w:tcPr>
          <w:p>
            <w:pPr>
              <w:jc w:val="right"/>
            </w:pPr>
            <w:r/>
            <w:r>
              <w:rPr>
                <w:rFonts w:ascii="Arial" w:hAnsi="Arial" w:eastAsia="Arial"/>
                <w:b w:val="0"/>
                <w:i w:val="0"/>
                <w:color w:val="2A3140"/>
                <w:sz w:val="17"/>
              </w:rPr>
              <w:t>10,029.0</w:t>
            </w:r>
          </w:p>
        </w:tc>
        <w:tc>
          <w:tcPr>
            <w:tcW w:type="dxa" w:w="1296"/>
          </w:tcPr>
          <w:p>
            <w:pPr>
              <w:jc w:val="right"/>
            </w:pPr>
            <w:r/>
            <w:r>
              <w:rPr>
                <w:rFonts w:ascii="Arial" w:hAnsi="Arial" w:eastAsia="Arial"/>
                <w:b w:val="0"/>
                <w:i w:val="0"/>
                <w:color w:val="2A3140"/>
                <w:sz w:val="17"/>
              </w:rPr>
              <w:t>2.3x</w:t>
            </w:r>
          </w:p>
        </w:tc>
        <w:tc>
          <w:tcPr>
            <w:tcW w:type="dxa" w:w="1296"/>
          </w:tcPr>
          <w:p>
            <w:pPr>
              <w:jc w:val="right"/>
            </w:pPr>
            <w:r/>
            <w:r>
              <w:rPr>
                <w:rFonts w:ascii="Arial" w:hAnsi="Arial" w:eastAsia="Arial"/>
                <w:b w:val="0"/>
                <w:i w:val="0"/>
                <w:color w:val="2A3140"/>
                <w:sz w:val="17"/>
              </w:rPr>
              <w:t>7.1x</w:t>
            </w:r>
          </w:p>
        </w:tc>
      </w:tr>
      <w:tr>
        <w:tc>
          <w:tcPr>
            <w:tcW w:type="dxa" w:w="2880"/>
          </w:tcPr>
          <w:p>
            <w:r/>
            <w:r>
              <w:rPr>
                <w:rFonts w:ascii="Arial" w:hAnsi="Arial" w:eastAsia="Arial"/>
                <w:b w:val="0"/>
                <w:i w:val="0"/>
                <w:color w:val="2A3140"/>
                <w:sz w:val="17"/>
              </w:rPr>
              <w:t>Convertible senior notes</w:t>
            </w:r>
          </w:p>
        </w:tc>
        <w:tc>
          <w:tcPr>
            <w:tcW w:type="dxa" w:w="1296"/>
          </w:tcPr>
          <w:p>
            <w:pPr>
              <w:jc w:val="right"/>
            </w:pPr>
            <w:r/>
            <w:r>
              <w:rPr>
                <w:rFonts w:ascii="Arial" w:hAnsi="Arial" w:eastAsia="Arial"/>
                <w:b w:val="0"/>
                <w:i w:val="0"/>
                <w:color w:val="2A3140"/>
                <w:sz w:val="17"/>
              </w:rPr>
              <w:t>6,588.0</w:t>
            </w:r>
          </w:p>
        </w:tc>
        <w:tc>
          <w:tcPr>
            <w:tcW w:type="dxa" w:w="1296"/>
          </w:tcPr>
          <w:p>
            <w:pPr>
              <w:jc w:val="right"/>
            </w:pPr>
            <w:r/>
            <w:r>
              <w:rPr>
                <w:rFonts w:ascii="Arial" w:hAnsi="Arial" w:eastAsia="Arial"/>
                <w:b w:val="0"/>
                <w:i w:val="0"/>
                <w:color w:val="2A3140"/>
                <w:sz w:val="17"/>
              </w:rPr>
              <w:t>4,200.0</w:t>
            </w:r>
          </w:p>
        </w:tc>
        <w:tc>
          <w:tcPr>
            <w:tcW w:type="dxa" w:w="1296"/>
          </w:tcPr>
          <w:p>
            <w:pPr>
              <w:jc w:val="right"/>
            </w:pPr>
            <w:r/>
            <w:r>
              <w:rPr>
                <w:rFonts w:ascii="Arial" w:hAnsi="Arial" w:eastAsia="Arial"/>
                <w:b w:val="0"/>
                <w:i w:val="0"/>
                <w:color w:val="2A3140"/>
                <w:sz w:val="17"/>
              </w:rPr>
              <w:t>10,788.0</w:t>
            </w:r>
          </w:p>
        </w:tc>
        <w:tc>
          <w:tcPr>
            <w:tcW w:type="dxa" w:w="1296"/>
          </w:tcPr>
          <w:p>
            <w:pPr>
              <w:jc w:val="right"/>
            </w:pPr>
            <w:r/>
            <w:r>
              <w:rPr>
                <w:rFonts w:ascii="Arial" w:hAnsi="Arial" w:eastAsia="Arial"/>
                <w:b w:val="0"/>
                <w:i w:val="0"/>
                <w:color w:val="2A3140"/>
                <w:sz w:val="17"/>
              </w:rPr>
              <w:t>2.5x</w:t>
            </w:r>
          </w:p>
        </w:tc>
        <w:tc>
          <w:tcPr>
            <w:tcW w:type="dxa" w:w="1296"/>
          </w:tcPr>
          <w:p>
            <w:pPr>
              <w:jc w:val="right"/>
            </w:pPr>
            <w:r/>
            <w:r>
              <w:rPr>
                <w:rFonts w:ascii="Arial" w:hAnsi="Arial" w:eastAsia="Arial"/>
                <w:b w:val="0"/>
                <w:i w:val="0"/>
                <w:color w:val="2A3140"/>
                <w:sz w:val="17"/>
              </w:rPr>
              <w:t>9.6x</w:t>
            </w:r>
          </w:p>
        </w:tc>
      </w:tr>
      <w:tr>
        <w:tc>
          <w:tcPr>
            <w:tcW w:type="dxa" w:w="2880"/>
          </w:tcPr>
          <w:p>
            <w:r/>
            <w:r>
              <w:rPr>
                <w:rFonts w:ascii="Arial" w:hAnsi="Arial" w:eastAsia="Arial"/>
                <w:b/>
                <w:i w:val="0"/>
                <w:color w:val="2A3140"/>
                <w:sz w:val="17"/>
              </w:rPr>
              <w:t>Total debt principal</w:t>
            </w:r>
          </w:p>
        </w:tc>
        <w:tc>
          <w:tcPr>
            <w:tcW w:type="dxa" w:w="1296"/>
          </w:tcPr>
          <w:p>
            <w:pPr>
              <w:jc w:val="right"/>
            </w:pPr>
            <w:r/>
            <w:r>
              <w:rPr>
                <w:rFonts w:ascii="Arial" w:hAnsi="Arial" w:eastAsia="Arial"/>
                <w:b/>
                <w:i w:val="0"/>
                <w:color w:val="2A3140"/>
                <w:sz w:val="17"/>
              </w:rPr>
              <w:t>35,551.0</w:t>
            </w:r>
          </w:p>
        </w:tc>
        <w:tc>
          <w:tcPr>
            <w:tcW w:type="dxa" w:w="1296"/>
          </w:tcPr>
          <w:p>
            <w:pPr>
              <w:jc w:val="right"/>
            </w:pPr>
            <w:r/>
            <w:r>
              <w:rPr>
                <w:rFonts w:ascii="Arial" w:hAnsi="Arial" w:eastAsia="Arial"/>
                <w:b/>
                <w:i w:val="0"/>
                <w:color w:val="2A3140"/>
                <w:sz w:val="17"/>
              </w:rPr>
              <w:t>6,600.0</w:t>
            </w:r>
          </w:p>
        </w:tc>
        <w:tc>
          <w:tcPr>
            <w:tcW w:type="dxa" w:w="1296"/>
          </w:tcPr>
          <w:p>
            <w:pPr>
              <w:jc w:val="right"/>
            </w:pPr>
            <w:r/>
            <w:r>
              <w:rPr>
                <w:rFonts w:ascii="Arial" w:hAnsi="Arial" w:eastAsia="Arial"/>
                <w:b/>
                <w:i w:val="0"/>
                <w:color w:val="2A3140"/>
                <w:sz w:val="17"/>
              </w:rPr>
              <w:t>42,151.0</w:t>
            </w:r>
          </w:p>
        </w:tc>
        <w:tc>
          <w:tcPr>
            <w:tcW w:type="dxa" w:w="1296"/>
          </w:tcPr>
          <w:p>
            <w:pPr>
              <w:jc w:val="right"/>
            </w:pPr>
            <w:r/>
            <w:r>
              <w:rPr>
                <w:rFonts w:ascii="Arial" w:hAnsi="Arial" w:eastAsia="Arial"/>
                <w:b/>
                <w:i w:val="0"/>
                <w:color w:val="2A3140"/>
                <w:sz w:val="17"/>
              </w:rPr>
              <w:t>9.6x</w:t>
            </w:r>
          </w:p>
        </w:tc>
        <w:tc>
          <w:tcPr>
            <w:tcW w:type="dxa" w:w="1296"/>
          </w:tcPr>
          <w:p>
            <w:r/>
          </w:p>
        </w:tc>
      </w:tr>
    </w:tbl>
    <w:p/>
    <w:p>
      <w:r>
        <w:rPr>
          <w:rFonts w:ascii="Arial" w:hAnsi="Arial" w:eastAsia="Arial"/>
          <w:b w:val="0"/>
          <w:i/>
          <w:color w:val="2A3140"/>
          <w:sz w:val="21"/>
        </w:rPr>
        <w:t>Subsequent events: $1.2bn of DDTL 5.5 draws; a $1.2bn revolver draw in August 2026; $4.2bn of 2.875% convertible notes due 2033 closed on 22 Sep 2026. Other post-June movements are n/d. Ranking is illustrative: each SPV's lenders have first claim only on that SPV's assets. Unrestricted cash was $5,524.0M at 30 Jun 2026, and undrawn availability under the revolver and DDTL 3.0, 4.0 and 5.0 was $10.0bn before the August draws. Exhibit 3 lists every tranche with its rate and maturity. [S1, S6]</w:t>
      </w:r>
    </w:p>
    <w:p>
      <w:r>
        <w:rPr>
          <w:rFonts w:ascii="Arial" w:hAnsi="Arial" w:eastAsia="Arial"/>
          <w:b/>
          <w:i w:val="0"/>
          <w:color w:val="2A3140"/>
          <w:sz w:val="21"/>
        </w:rPr>
        <w:t>Exhibit 3 extract: contractual debt maturities at 30 Jun 2026</w:t>
      </w:r>
      <w:r>
        <w:rPr>
          <w:rFonts w:ascii="Arial" w:hAnsi="Arial" w:eastAsia="Arial"/>
          <w:b w:val="0"/>
          <w:i w:val="0"/>
          <w:color w:val="2A3140"/>
          <w:sz w:val="21"/>
        </w:rPr>
        <w:t xml:space="preserve"> ($ in millions, all CoreWeave debt)</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736"/>
        <w:gridCol w:w="6624"/>
      </w:tblGrid>
      <w:tr>
        <w:tc>
          <w:tcPr>
            <w:tcW w:type="dxa" w:w="2736"/>
            <w:shd w:val="clear" w:color="auto" w:fill="E4EAF3"/>
          </w:tcPr>
          <w:p>
            <w:r/>
            <w:r>
              <w:rPr>
                <w:rFonts w:ascii="Arial" w:hAnsi="Arial" w:eastAsia="Arial"/>
                <w:b/>
                <w:i w:val="0"/>
                <w:color w:val="121826"/>
                <w:sz w:val="17"/>
              </w:rPr>
              <w:t>Year</w:t>
            </w:r>
          </w:p>
        </w:tc>
        <w:tc>
          <w:tcPr>
            <w:tcW w:type="dxa" w:w="6624"/>
            <w:shd w:val="clear" w:color="auto" w:fill="E4EAF3"/>
          </w:tcPr>
          <w:p>
            <w:r/>
            <w:r>
              <w:rPr>
                <w:rFonts w:ascii="Arial" w:hAnsi="Arial" w:eastAsia="Arial"/>
                <w:b/>
                <w:i w:val="0"/>
                <w:color w:val="121826"/>
                <w:sz w:val="17"/>
              </w:rPr>
              <w:t>$M</w:t>
            </w:r>
          </w:p>
        </w:tc>
      </w:tr>
      <w:tr>
        <w:tc>
          <w:tcPr>
            <w:tcW w:type="dxa" w:w="2736"/>
          </w:tcPr>
          <w:p>
            <w:r/>
            <w:r>
              <w:rPr>
                <w:rFonts w:ascii="Arial" w:hAnsi="Arial" w:eastAsia="Arial"/>
                <w:b w:val="0"/>
                <w:i w:val="0"/>
                <w:color w:val="2A3140"/>
                <w:sz w:val="17"/>
              </w:rPr>
              <w:t>Remaining 2026</w:t>
            </w:r>
          </w:p>
        </w:tc>
        <w:tc>
          <w:tcPr>
            <w:tcW w:type="dxa" w:w="6624"/>
          </w:tcPr>
          <w:p>
            <w:pPr>
              <w:jc w:val="right"/>
            </w:pPr>
            <w:r/>
            <w:r>
              <w:rPr>
                <w:rFonts w:ascii="Arial" w:hAnsi="Arial" w:eastAsia="Arial"/>
                <w:b w:val="0"/>
                <w:i w:val="0"/>
                <w:color w:val="2A3140"/>
                <w:sz w:val="17"/>
              </w:rPr>
              <w:t>4,413.0</w:t>
            </w:r>
          </w:p>
        </w:tc>
      </w:tr>
      <w:tr>
        <w:tc>
          <w:tcPr>
            <w:tcW w:type="dxa" w:w="2736"/>
          </w:tcPr>
          <w:p>
            <w:r/>
            <w:r>
              <w:rPr>
                <w:rFonts w:ascii="Arial" w:hAnsi="Arial" w:eastAsia="Arial"/>
                <w:b w:val="0"/>
                <w:i w:val="0"/>
                <w:color w:val="2A3140"/>
                <w:sz w:val="17"/>
              </w:rPr>
              <w:t>2027</w:t>
            </w:r>
          </w:p>
        </w:tc>
        <w:tc>
          <w:tcPr>
            <w:tcW w:type="dxa" w:w="6624"/>
          </w:tcPr>
          <w:p>
            <w:pPr>
              <w:jc w:val="right"/>
            </w:pPr>
            <w:r/>
            <w:r>
              <w:rPr>
                <w:rFonts w:ascii="Arial" w:hAnsi="Arial" w:eastAsia="Arial"/>
                <w:b w:val="0"/>
                <w:i w:val="0"/>
                <w:color w:val="2A3140"/>
                <w:sz w:val="17"/>
              </w:rPr>
              <w:t>6,184.0</w:t>
            </w:r>
          </w:p>
        </w:tc>
      </w:tr>
      <w:tr>
        <w:tc>
          <w:tcPr>
            <w:tcW w:type="dxa" w:w="2736"/>
          </w:tcPr>
          <w:p>
            <w:r/>
            <w:r>
              <w:rPr>
                <w:rFonts w:ascii="Arial" w:hAnsi="Arial" w:eastAsia="Arial"/>
                <w:b w:val="0"/>
                <w:i w:val="0"/>
                <w:color w:val="2A3140"/>
                <w:sz w:val="17"/>
              </w:rPr>
              <w:t>2028</w:t>
            </w:r>
          </w:p>
        </w:tc>
        <w:tc>
          <w:tcPr>
            <w:tcW w:type="dxa" w:w="6624"/>
          </w:tcPr>
          <w:p>
            <w:pPr>
              <w:jc w:val="right"/>
            </w:pPr>
            <w:r/>
            <w:r>
              <w:rPr>
                <w:rFonts w:ascii="Arial" w:hAnsi="Arial" w:eastAsia="Arial"/>
                <w:b w:val="0"/>
                <w:i w:val="0"/>
                <w:color w:val="2A3140"/>
                <w:sz w:val="17"/>
              </w:rPr>
              <w:t>4,416.0</w:t>
            </w:r>
          </w:p>
        </w:tc>
      </w:tr>
      <w:tr>
        <w:tc>
          <w:tcPr>
            <w:tcW w:type="dxa" w:w="2736"/>
          </w:tcPr>
          <w:p>
            <w:r/>
            <w:r>
              <w:rPr>
                <w:rFonts w:ascii="Arial" w:hAnsi="Arial" w:eastAsia="Arial"/>
                <w:b w:val="0"/>
                <w:i w:val="0"/>
                <w:color w:val="2A3140"/>
                <w:sz w:val="17"/>
              </w:rPr>
              <w:t>2029</w:t>
            </w:r>
          </w:p>
        </w:tc>
        <w:tc>
          <w:tcPr>
            <w:tcW w:type="dxa" w:w="6624"/>
          </w:tcPr>
          <w:p>
            <w:pPr>
              <w:jc w:val="right"/>
            </w:pPr>
            <w:r/>
            <w:r>
              <w:rPr>
                <w:rFonts w:ascii="Arial" w:hAnsi="Arial" w:eastAsia="Arial"/>
                <w:b w:val="0"/>
                <w:i w:val="0"/>
                <w:color w:val="2A3140"/>
                <w:sz w:val="17"/>
              </w:rPr>
              <w:t>2,421.0</w:t>
            </w:r>
          </w:p>
        </w:tc>
      </w:tr>
      <w:tr>
        <w:tc>
          <w:tcPr>
            <w:tcW w:type="dxa" w:w="2736"/>
          </w:tcPr>
          <w:p>
            <w:r/>
            <w:r>
              <w:rPr>
                <w:rFonts w:ascii="Arial" w:hAnsi="Arial" w:eastAsia="Arial"/>
                <w:b w:val="0"/>
                <w:i w:val="0"/>
                <w:color w:val="2A3140"/>
                <w:sz w:val="17"/>
              </w:rPr>
              <w:t>2030</w:t>
            </w:r>
          </w:p>
        </w:tc>
        <w:tc>
          <w:tcPr>
            <w:tcW w:type="dxa" w:w="6624"/>
          </w:tcPr>
          <w:p>
            <w:pPr>
              <w:jc w:val="right"/>
            </w:pPr>
            <w:r/>
            <w:r>
              <w:rPr>
                <w:rFonts w:ascii="Arial" w:hAnsi="Arial" w:eastAsia="Arial"/>
                <w:b w:val="0"/>
                <w:i w:val="0"/>
                <w:color w:val="2A3140"/>
                <w:sz w:val="17"/>
              </w:rPr>
              <w:t>3,221.0</w:t>
            </w:r>
          </w:p>
        </w:tc>
      </w:tr>
      <w:tr>
        <w:tc>
          <w:tcPr>
            <w:tcW w:type="dxa" w:w="2736"/>
          </w:tcPr>
          <w:p>
            <w:r/>
            <w:r>
              <w:rPr>
                <w:rFonts w:ascii="Arial" w:hAnsi="Arial" w:eastAsia="Arial"/>
                <w:b w:val="0"/>
                <w:i w:val="0"/>
                <w:color w:val="2A3140"/>
                <w:sz w:val="17"/>
              </w:rPr>
              <w:t>Thereafter</w:t>
            </w:r>
          </w:p>
        </w:tc>
        <w:tc>
          <w:tcPr>
            <w:tcW w:type="dxa" w:w="6624"/>
          </w:tcPr>
          <w:p>
            <w:pPr>
              <w:jc w:val="right"/>
            </w:pPr>
            <w:r/>
            <w:r>
              <w:rPr>
                <w:rFonts w:ascii="Arial" w:hAnsi="Arial" w:eastAsia="Arial"/>
                <w:b w:val="0"/>
                <w:i w:val="0"/>
                <w:color w:val="2A3140"/>
                <w:sz w:val="17"/>
              </w:rPr>
              <w:t>14,896.0</w:t>
            </w:r>
          </w:p>
        </w:tc>
      </w:tr>
      <w:tr>
        <w:tc>
          <w:tcPr>
            <w:tcW w:type="dxa" w:w="2736"/>
          </w:tcPr>
          <w:p>
            <w:r/>
            <w:r>
              <w:rPr>
                <w:rFonts w:ascii="Arial" w:hAnsi="Arial" w:eastAsia="Arial"/>
                <w:b/>
                <w:i w:val="0"/>
                <w:color w:val="2A3140"/>
                <w:sz w:val="17"/>
              </w:rPr>
              <w:t>Total</w:t>
            </w:r>
          </w:p>
        </w:tc>
        <w:tc>
          <w:tcPr>
            <w:tcW w:type="dxa" w:w="6624"/>
          </w:tcPr>
          <w:p>
            <w:pPr>
              <w:jc w:val="right"/>
            </w:pPr>
            <w:r/>
            <w:r>
              <w:rPr>
                <w:rFonts w:ascii="Arial" w:hAnsi="Arial" w:eastAsia="Arial"/>
                <w:b/>
                <w:i w:val="0"/>
                <w:color w:val="2A3140"/>
                <w:sz w:val="17"/>
              </w:rPr>
              <w:t>35,551.0</w:t>
            </w:r>
          </w:p>
        </w:tc>
      </w:tr>
    </w:tbl>
    <w:p/>
    <w:p>
      <w:pPr>
        <w:spacing w:before="240"/>
      </w:pPr>
      <w:r>
        <w:rPr>
          <w:rFonts w:ascii="Georgia" w:hAnsi="Georgia" w:eastAsia="Georgia"/>
          <w:b/>
          <w:i w:val="0"/>
          <w:color w:val="1E3A5F"/>
          <w:sz w:val="26"/>
        </w:rPr>
        <w:t>6. Contracts, collateral and GPU market data</w:t>
      </w:r>
    </w:p>
    <w:p>
      <w:r>
        <w:rPr>
          <w:rFonts w:ascii="Arial" w:hAnsi="Arial" w:eastAsia="Arial"/>
          <w:b/>
          <w:i w:val="0"/>
          <w:color w:val="2A3140"/>
          <w:sz w:val="21"/>
        </w:rPr>
        <w:t>Contracts.</w:t>
      </w:r>
      <w:r>
        <w:rPr>
          <w:rFonts w:ascii="Arial" w:hAnsi="Arial" w:eastAsia="Arial"/>
          <w:b w:val="0"/>
          <w:i w:val="0"/>
          <w:color w:val="2A3140"/>
          <w:sz w:val="21"/>
        </w:rPr>
        <w:t xml:space="preserve"> The SPV starts with five initial MSAs; counterparties are redacted. New MSAs must be with a Qualified Customer, last at least six months, be in US dollars, be assignable to the lenders, have no cross-default to other customers' contracts, deploy at an Approved Data Center Site and be on terms not materially worse than the MSA replaced. A Qualified Customer is one a Borrower officer certifies can perform, or one approved by Required Lenders (deemed approved after five Business Days without objection). There is no rating floor. CoreWeave's own committed contracts had a weighted-average duration of about five years at December 2025, longer than the three years in this SPV. [S2, S5]</w:t>
      </w:r>
    </w:p>
    <w:p>
      <w:r>
        <w:rPr>
          <w:rFonts w:ascii="Arial" w:hAnsi="Arial" w:eastAsia="Arial"/>
          <w:b/>
          <w:i w:val="0"/>
          <w:color w:val="2A3140"/>
          <w:sz w:val="21"/>
        </w:rPr>
        <w:t>Collateral.</w:t>
      </w:r>
      <w:r>
        <w:rPr>
          <w:rFonts w:ascii="Arial" w:hAnsi="Arial" w:eastAsia="Arial"/>
          <w:b w:val="0"/>
          <w:i w:val="0"/>
          <w:color w:val="2A3140"/>
          <w:sz w:val="21"/>
        </w:rPr>
        <w:t xml:space="preserve"> The loans are secured by the SPV's GPU infrastructure, contracts, collateral accounts and pledged equity. Equipment transferred from the parent is valued at net depreciated cost, and the agreement's GPU Depreciated Amount is straight line over 6 years with a half-month convention, matching CoreWeave's 6-year accounting life. The GPU models financed, the Weighted Average Hourly GPU Rate and the purchase orders are not disclosed. [S2, S5]</w:t>
      </w:r>
    </w:p>
    <w:p>
      <w:r>
        <w:rPr>
          <w:rFonts w:ascii="Arial" w:hAnsi="Arial" w:eastAsia="Arial"/>
          <w:b/>
          <w:i w:val="0"/>
          <w:color w:val="2A3140"/>
          <w:sz w:val="21"/>
        </w:rPr>
        <w:t>Exhibit 7 extract: GPU rental and hardware prices</w:t>
      </w:r>
      <w:r>
        <w:rPr>
          <w:rFonts w:ascii="Arial" w:hAnsi="Arial" w:eastAsia="Arial"/>
          <w:b w:val="0"/>
          <w:i w:val="0"/>
          <w:color w:val="2A3140"/>
          <w:sz w:val="21"/>
        </w:rPr>
        <w:t xml:space="preserve"> (public, dated sources)</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880"/>
        <w:gridCol w:w="1620"/>
        <w:gridCol w:w="1620"/>
        <w:gridCol w:w="1620"/>
        <w:gridCol w:w="1620"/>
      </w:tblGrid>
      <w:tr>
        <w:tc>
          <w:tcPr>
            <w:tcW w:type="dxa" w:w="2880"/>
            <w:shd w:val="clear" w:color="auto" w:fill="E4EAF3"/>
          </w:tcPr>
          <w:p>
            <w:r/>
            <w:r>
              <w:rPr>
                <w:rFonts w:ascii="Arial" w:hAnsi="Arial" w:eastAsia="Arial"/>
                <w:b/>
                <w:i w:val="0"/>
                <w:color w:val="121826"/>
                <w:sz w:val="17"/>
              </w:rPr>
              <w:t>Measure</w:t>
            </w:r>
          </w:p>
        </w:tc>
        <w:tc>
          <w:tcPr>
            <w:tcW w:type="dxa" w:w="1620"/>
            <w:shd w:val="clear" w:color="auto" w:fill="E4EAF3"/>
          </w:tcPr>
          <w:p>
            <w:r/>
            <w:r>
              <w:rPr>
                <w:rFonts w:ascii="Arial" w:hAnsi="Arial" w:eastAsia="Arial"/>
                <w:b/>
                <w:i w:val="0"/>
                <w:color w:val="121826"/>
                <w:sz w:val="17"/>
              </w:rPr>
              <w:t>Units</w:t>
            </w:r>
          </w:p>
        </w:tc>
        <w:tc>
          <w:tcPr>
            <w:tcW w:type="dxa" w:w="1620"/>
            <w:shd w:val="clear" w:color="auto" w:fill="E4EAF3"/>
          </w:tcPr>
          <w:p>
            <w:r/>
            <w:r>
              <w:rPr>
                <w:rFonts w:ascii="Arial" w:hAnsi="Arial" w:eastAsia="Arial"/>
                <w:b/>
                <w:i w:val="0"/>
                <w:color w:val="121826"/>
                <w:sz w:val="17"/>
              </w:rPr>
              <w:t>Value</w:t>
            </w:r>
          </w:p>
        </w:tc>
        <w:tc>
          <w:tcPr>
            <w:tcW w:type="dxa" w:w="1620"/>
            <w:shd w:val="clear" w:color="auto" w:fill="E4EAF3"/>
          </w:tcPr>
          <w:p>
            <w:r/>
            <w:r>
              <w:rPr>
                <w:rFonts w:ascii="Arial" w:hAnsi="Arial" w:eastAsia="Arial"/>
                <w:b/>
                <w:i w:val="0"/>
                <w:color w:val="121826"/>
                <w:sz w:val="17"/>
              </w:rPr>
              <w:t>As of</w:t>
            </w:r>
          </w:p>
        </w:tc>
        <w:tc>
          <w:tcPr>
            <w:tcW w:type="dxa" w:w="1620"/>
            <w:shd w:val="clear" w:color="auto" w:fill="E4EAF3"/>
          </w:tcPr>
          <w:p>
            <w:r/>
            <w:r>
              <w:rPr>
                <w:rFonts w:ascii="Arial" w:hAnsi="Arial" w:eastAsia="Arial"/>
                <w:b/>
                <w:i w:val="0"/>
                <w:color w:val="121826"/>
                <w:sz w:val="17"/>
              </w:rPr>
              <w:t>Source; data type</w:t>
            </w:r>
          </w:p>
        </w:tc>
      </w:tr>
      <w:tr>
        <w:tc>
          <w:tcPr>
            <w:tcW w:type="dxa" w:w="2880"/>
          </w:tcPr>
          <w:p>
            <w:r/>
            <w:r>
              <w:rPr>
                <w:rFonts w:ascii="Arial" w:hAnsi="Arial" w:eastAsia="Arial"/>
                <w:b w:val="0"/>
                <w:i w:val="0"/>
                <w:color w:val="2A3140"/>
                <w:sz w:val="17"/>
              </w:rPr>
              <w:t>H100 SXM rental, transacted index (OCPI-H100)</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2.65</w:t>
            </w:r>
          </w:p>
        </w:tc>
        <w:tc>
          <w:tcPr>
            <w:tcW w:type="dxa" w:w="1620"/>
          </w:tcPr>
          <w:p>
            <w:r/>
            <w:r>
              <w:rPr>
                <w:rFonts w:ascii="Arial" w:hAnsi="Arial" w:eastAsia="Arial"/>
                <w:b w:val="0"/>
                <w:i w:val="0"/>
                <w:color w:val="2A3140"/>
                <w:sz w:val="17"/>
              </w:rPr>
              <w:t>11 Oct 2026</w:t>
            </w:r>
          </w:p>
        </w:tc>
        <w:tc>
          <w:tcPr>
            <w:tcW w:type="dxa" w:w="1620"/>
          </w:tcPr>
          <w:p>
            <w:r/>
            <w:r>
              <w:rPr>
                <w:rFonts w:ascii="Arial" w:hAnsi="Arial" w:eastAsia="Arial"/>
                <w:b w:val="0"/>
                <w:i w:val="0"/>
                <w:color w:val="2A3140"/>
                <w:sz w:val="17"/>
              </w:rPr>
              <w:t>S17; transacted, volume-weighted</w:t>
            </w:r>
          </w:p>
        </w:tc>
      </w:tr>
      <w:tr>
        <w:tc>
          <w:tcPr>
            <w:tcW w:type="dxa" w:w="2880"/>
          </w:tcPr>
          <w:p>
            <w:r/>
            <w:r>
              <w:rPr>
                <w:rFonts w:ascii="Arial" w:hAnsi="Arial" w:eastAsia="Arial"/>
                <w:b w:val="0"/>
                <w:i w:val="0"/>
                <w:color w:val="2A3140"/>
                <w:sz w:val="17"/>
              </w:rPr>
              <w:t>H100 SXM, OCPI 30 days earlier</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2.87</w:t>
            </w:r>
          </w:p>
        </w:tc>
        <w:tc>
          <w:tcPr>
            <w:tcW w:type="dxa" w:w="1620"/>
          </w:tcPr>
          <w:p>
            <w:r/>
            <w:r>
              <w:rPr>
                <w:rFonts w:ascii="Arial" w:hAnsi="Arial" w:eastAsia="Arial"/>
                <w:b w:val="0"/>
                <w:i w:val="0"/>
                <w:color w:val="2A3140"/>
                <w:sz w:val="17"/>
              </w:rPr>
              <w:t>11 Sep 2026 (30-day change −7.7%)</w:t>
            </w:r>
          </w:p>
        </w:tc>
        <w:tc>
          <w:tcPr>
            <w:tcW w:type="dxa" w:w="1620"/>
          </w:tcPr>
          <w:p>
            <w:r/>
            <w:r>
              <w:rPr>
                <w:rFonts w:ascii="Arial" w:hAnsi="Arial" w:eastAsia="Arial"/>
                <w:b w:val="0"/>
                <w:i w:val="0"/>
                <w:color w:val="2A3140"/>
                <w:sz w:val="17"/>
              </w:rPr>
              <w:t>S17; transacted</w:t>
            </w:r>
          </w:p>
        </w:tc>
      </w:tr>
      <w:tr>
        <w:tc>
          <w:tcPr>
            <w:tcW w:type="dxa" w:w="2880"/>
          </w:tcPr>
          <w:p>
            <w:r/>
            <w:r>
              <w:rPr>
                <w:rFonts w:ascii="Arial" w:hAnsi="Arial" w:eastAsia="Arial"/>
                <w:b w:val="0"/>
                <w:i w:val="0"/>
                <w:color w:val="2A3140"/>
                <w:sz w:val="17"/>
              </w:rPr>
              <w:t>H100 SXM, OCPI three-month low</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2.49</w:t>
            </w:r>
          </w:p>
        </w:tc>
        <w:tc>
          <w:tcPr>
            <w:tcW w:type="dxa" w:w="1620"/>
          </w:tcPr>
          <w:p>
            <w:r/>
            <w:r>
              <w:rPr>
                <w:rFonts w:ascii="Arial" w:hAnsi="Arial" w:eastAsia="Arial"/>
                <w:b w:val="0"/>
                <w:i w:val="0"/>
                <w:color w:val="2A3140"/>
                <w:sz w:val="17"/>
              </w:rPr>
              <w:t>Jul–Oct 2026</w:t>
            </w:r>
          </w:p>
        </w:tc>
        <w:tc>
          <w:tcPr>
            <w:tcW w:type="dxa" w:w="1620"/>
          </w:tcPr>
          <w:p>
            <w:r/>
            <w:r>
              <w:rPr>
                <w:rFonts w:ascii="Arial" w:hAnsi="Arial" w:eastAsia="Arial"/>
                <w:b w:val="0"/>
                <w:i w:val="0"/>
                <w:color w:val="2A3140"/>
                <w:sz w:val="17"/>
              </w:rPr>
              <w:t>S17; transacted</w:t>
            </w:r>
          </w:p>
        </w:tc>
      </w:tr>
      <w:tr>
        <w:tc>
          <w:tcPr>
            <w:tcW w:type="dxa" w:w="2880"/>
          </w:tcPr>
          <w:p>
            <w:r/>
            <w:r>
              <w:rPr>
                <w:rFonts w:ascii="Arial" w:hAnsi="Arial" w:eastAsia="Arial"/>
                <w:b w:val="0"/>
                <w:i w:val="0"/>
                <w:color w:val="2A3140"/>
                <w:sz w:val="17"/>
              </w:rPr>
              <w:t>H100 SXM, OCPI three-month high</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3.17</w:t>
            </w:r>
          </w:p>
        </w:tc>
        <w:tc>
          <w:tcPr>
            <w:tcW w:type="dxa" w:w="1620"/>
          </w:tcPr>
          <w:p>
            <w:r/>
            <w:r>
              <w:rPr>
                <w:rFonts w:ascii="Arial" w:hAnsi="Arial" w:eastAsia="Arial"/>
                <w:b w:val="0"/>
                <w:i w:val="0"/>
                <w:color w:val="2A3140"/>
                <w:sz w:val="17"/>
              </w:rPr>
              <w:t>Jul–Oct 2026</w:t>
            </w:r>
          </w:p>
        </w:tc>
        <w:tc>
          <w:tcPr>
            <w:tcW w:type="dxa" w:w="1620"/>
          </w:tcPr>
          <w:p>
            <w:r/>
            <w:r>
              <w:rPr>
                <w:rFonts w:ascii="Arial" w:hAnsi="Arial" w:eastAsia="Arial"/>
                <w:b w:val="0"/>
                <w:i w:val="0"/>
                <w:color w:val="2A3140"/>
                <w:sz w:val="17"/>
              </w:rPr>
              <w:t>S17; transacted</w:t>
            </w:r>
          </w:p>
        </w:tc>
      </w:tr>
      <w:tr>
        <w:tc>
          <w:tcPr>
            <w:tcW w:type="dxa" w:w="2880"/>
          </w:tcPr>
          <w:p>
            <w:r/>
            <w:r>
              <w:rPr>
                <w:rFonts w:ascii="Arial" w:hAnsi="Arial" w:eastAsia="Arial"/>
                <w:b w:val="0"/>
                <w:i w:val="0"/>
                <w:color w:val="2A3140"/>
                <w:sz w:val="17"/>
              </w:rPr>
              <w:t>H200 rental (OCPI-H200)</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5.61</w:t>
            </w:r>
          </w:p>
        </w:tc>
        <w:tc>
          <w:tcPr>
            <w:tcW w:type="dxa" w:w="1620"/>
          </w:tcPr>
          <w:p>
            <w:r/>
            <w:r>
              <w:rPr>
                <w:rFonts w:ascii="Arial" w:hAnsi="Arial" w:eastAsia="Arial"/>
                <w:b w:val="0"/>
                <w:i w:val="0"/>
                <w:color w:val="2A3140"/>
                <w:sz w:val="17"/>
              </w:rPr>
              <w:t>11 Oct 2026</w:t>
            </w:r>
          </w:p>
        </w:tc>
        <w:tc>
          <w:tcPr>
            <w:tcW w:type="dxa" w:w="1620"/>
          </w:tcPr>
          <w:p>
            <w:r/>
            <w:r>
              <w:rPr>
                <w:rFonts w:ascii="Arial" w:hAnsi="Arial" w:eastAsia="Arial"/>
                <w:b w:val="0"/>
                <w:i w:val="0"/>
                <w:color w:val="2A3140"/>
                <w:sz w:val="17"/>
              </w:rPr>
              <w:t>S17; transacted</w:t>
            </w:r>
          </w:p>
        </w:tc>
      </w:tr>
      <w:tr>
        <w:tc>
          <w:tcPr>
            <w:tcW w:type="dxa" w:w="2880"/>
          </w:tcPr>
          <w:p>
            <w:r/>
            <w:r>
              <w:rPr>
                <w:rFonts w:ascii="Arial" w:hAnsi="Arial" w:eastAsia="Arial"/>
                <w:b w:val="0"/>
                <w:i w:val="0"/>
                <w:color w:val="2A3140"/>
                <w:sz w:val="17"/>
              </w:rPr>
              <w:t>B200 rental (OCPI-B200)</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7.45</w:t>
            </w:r>
          </w:p>
        </w:tc>
        <w:tc>
          <w:tcPr>
            <w:tcW w:type="dxa" w:w="1620"/>
          </w:tcPr>
          <w:p>
            <w:r/>
            <w:r>
              <w:rPr>
                <w:rFonts w:ascii="Arial" w:hAnsi="Arial" w:eastAsia="Arial"/>
                <w:b w:val="0"/>
                <w:i w:val="0"/>
                <w:color w:val="2A3140"/>
                <w:sz w:val="17"/>
              </w:rPr>
              <w:t>11 Oct 2026</w:t>
            </w:r>
          </w:p>
        </w:tc>
        <w:tc>
          <w:tcPr>
            <w:tcW w:type="dxa" w:w="1620"/>
          </w:tcPr>
          <w:p>
            <w:r/>
            <w:r>
              <w:rPr>
                <w:rFonts w:ascii="Arial" w:hAnsi="Arial" w:eastAsia="Arial"/>
                <w:b w:val="0"/>
                <w:i w:val="0"/>
                <w:color w:val="2A3140"/>
                <w:sz w:val="17"/>
              </w:rPr>
              <w:t>S17; transacted</w:t>
            </w:r>
          </w:p>
        </w:tc>
      </w:tr>
      <w:tr>
        <w:tc>
          <w:tcPr>
            <w:tcW w:type="dxa" w:w="2880"/>
          </w:tcPr>
          <w:p>
            <w:r/>
            <w:r>
              <w:rPr>
                <w:rFonts w:ascii="Arial" w:hAnsi="Arial" w:eastAsia="Arial"/>
                <w:b w:val="0"/>
                <w:i w:val="0"/>
                <w:color w:val="2A3140"/>
                <w:sz w:val="17"/>
              </w:rPr>
              <w:t>A100 SXM4 rental (OCPI-A100), prior generation (2020)</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0.96</w:t>
            </w:r>
          </w:p>
        </w:tc>
        <w:tc>
          <w:tcPr>
            <w:tcW w:type="dxa" w:w="1620"/>
          </w:tcPr>
          <w:p>
            <w:r/>
            <w:r>
              <w:rPr>
                <w:rFonts w:ascii="Arial" w:hAnsi="Arial" w:eastAsia="Arial"/>
                <w:b w:val="0"/>
                <w:i w:val="0"/>
                <w:color w:val="2A3140"/>
                <w:sz w:val="17"/>
              </w:rPr>
              <w:t>11 Oct 2026</w:t>
            </w:r>
          </w:p>
        </w:tc>
        <w:tc>
          <w:tcPr>
            <w:tcW w:type="dxa" w:w="1620"/>
          </w:tcPr>
          <w:p>
            <w:r/>
            <w:r>
              <w:rPr>
                <w:rFonts w:ascii="Arial" w:hAnsi="Arial" w:eastAsia="Arial"/>
                <w:b w:val="0"/>
                <w:i w:val="0"/>
                <w:color w:val="2A3140"/>
                <w:sz w:val="17"/>
              </w:rPr>
              <w:t>S17; transacted</w:t>
            </w:r>
          </w:p>
        </w:tc>
      </w:tr>
      <w:tr>
        <w:tc>
          <w:tcPr>
            <w:tcW w:type="dxa" w:w="2880"/>
          </w:tcPr>
          <w:p>
            <w:r/>
            <w:r>
              <w:rPr>
                <w:rFonts w:ascii="Arial" w:hAnsi="Arial" w:eastAsia="Arial"/>
                <w:b w:val="0"/>
                <w:i w:val="0"/>
                <w:color w:val="2A3140"/>
                <w:sz w:val="17"/>
              </w:rPr>
              <w:t>H100 SXM listed on-demand median, 33 rates / 31 providers</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3.49</w:t>
            </w:r>
          </w:p>
        </w:tc>
        <w:tc>
          <w:tcPr>
            <w:tcW w:type="dxa" w:w="1620"/>
          </w:tcPr>
          <w:p>
            <w:r/>
            <w:r>
              <w:rPr>
                <w:rFonts w:ascii="Arial" w:hAnsi="Arial" w:eastAsia="Arial"/>
                <w:b w:val="0"/>
                <w:i w:val="0"/>
                <w:color w:val="2A3140"/>
                <w:sz w:val="17"/>
              </w:rPr>
              <w:t>week of 5 Oct 2026 (final)</w:t>
            </w:r>
          </w:p>
        </w:tc>
        <w:tc>
          <w:tcPr>
            <w:tcW w:type="dxa" w:w="1620"/>
          </w:tcPr>
          <w:p>
            <w:r/>
            <w:r>
              <w:rPr>
                <w:rFonts w:ascii="Arial" w:hAnsi="Arial" w:eastAsia="Arial"/>
                <w:b w:val="0"/>
                <w:i w:val="0"/>
                <w:color w:val="2A3140"/>
                <w:sz w:val="17"/>
              </w:rPr>
              <w:t>S18; listed rate cards</w:t>
            </w:r>
          </w:p>
        </w:tc>
      </w:tr>
      <w:tr>
        <w:tc>
          <w:tcPr>
            <w:tcW w:type="dxa" w:w="2880"/>
          </w:tcPr>
          <w:p>
            <w:r/>
            <w:r>
              <w:rPr>
                <w:rFonts w:ascii="Arial" w:hAnsi="Arial" w:eastAsia="Arial"/>
                <w:b w:val="0"/>
                <w:i w:val="0"/>
                <w:color w:val="2A3140"/>
                <w:sz w:val="17"/>
              </w:rPr>
              <w:t>CoreWeave listed H100 on-demand rate ($49.24 per 8-GPU node)</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6.16</w:t>
            </w:r>
          </w:p>
        </w:tc>
        <w:tc>
          <w:tcPr>
            <w:tcW w:type="dxa" w:w="1620"/>
          </w:tcPr>
          <w:p>
            <w:r/>
            <w:r>
              <w:rPr>
                <w:rFonts w:ascii="Arial" w:hAnsi="Arial" w:eastAsia="Arial"/>
                <w:b w:val="0"/>
                <w:i w:val="0"/>
                <w:color w:val="2A3140"/>
                <w:sz w:val="17"/>
              </w:rPr>
              <w:t>week of 12 Oct 2026</w:t>
            </w:r>
          </w:p>
        </w:tc>
        <w:tc>
          <w:tcPr>
            <w:tcW w:type="dxa" w:w="1620"/>
          </w:tcPr>
          <w:p>
            <w:r/>
            <w:r>
              <w:rPr>
                <w:rFonts w:ascii="Arial" w:hAnsi="Arial" w:eastAsia="Arial"/>
                <w:b w:val="0"/>
                <w:i w:val="0"/>
                <w:color w:val="2A3140"/>
                <w:sz w:val="17"/>
              </w:rPr>
              <w:t>S18; listed rate card</w:t>
            </w:r>
          </w:p>
        </w:tc>
      </w:tr>
      <w:tr>
        <w:tc>
          <w:tcPr>
            <w:tcW w:type="dxa" w:w="2880"/>
          </w:tcPr>
          <w:p>
            <w:r/>
            <w:r>
              <w:rPr>
                <w:rFonts w:ascii="Arial" w:hAnsi="Arial" w:eastAsia="Arial"/>
                <w:b w:val="0"/>
                <w:i w:val="0"/>
                <w:color w:val="2A3140"/>
                <w:sz w:val="17"/>
              </w:rPr>
              <w:t>H100 listed on-demand, reconstructed chain-linked index (week of 6 Jan 2025 = 100)</w:t>
            </w:r>
          </w:p>
        </w:tc>
        <w:tc>
          <w:tcPr>
            <w:tcW w:type="dxa" w:w="1620"/>
          </w:tcPr>
          <w:p>
            <w:r/>
            <w:r>
              <w:rPr>
                <w:rFonts w:ascii="Arial" w:hAnsi="Arial" w:eastAsia="Arial"/>
                <w:b w:val="0"/>
                <w:i w:val="0"/>
                <w:color w:val="2A3140"/>
                <w:sz w:val="17"/>
              </w:rPr>
              <w:t>index</w:t>
            </w:r>
          </w:p>
        </w:tc>
        <w:tc>
          <w:tcPr>
            <w:tcW w:type="dxa" w:w="1620"/>
          </w:tcPr>
          <w:p>
            <w:pPr>
              <w:jc w:val="right"/>
            </w:pPr>
            <w:r/>
            <w:r>
              <w:rPr>
                <w:rFonts w:ascii="Arial" w:hAnsi="Arial" w:eastAsia="Arial"/>
                <w:b w:val="0"/>
                <w:i w:val="0"/>
                <w:color w:val="2A3140"/>
                <w:sz w:val="17"/>
              </w:rPr>
              <w:t>78.4</w:t>
            </w:r>
          </w:p>
        </w:tc>
        <w:tc>
          <w:tcPr>
            <w:tcW w:type="dxa" w:w="1620"/>
          </w:tcPr>
          <w:p>
            <w:r/>
            <w:r>
              <w:rPr>
                <w:rFonts w:ascii="Arial" w:hAnsi="Arial" w:eastAsia="Arial"/>
                <w:b w:val="0"/>
                <w:i w:val="0"/>
                <w:color w:val="2A3140"/>
                <w:sz w:val="17"/>
              </w:rPr>
              <w:t>week of 28 Sep 2026</w:t>
            </w:r>
          </w:p>
        </w:tc>
        <w:tc>
          <w:tcPr>
            <w:tcW w:type="dxa" w:w="1620"/>
          </w:tcPr>
          <w:p>
            <w:r/>
            <w:r>
              <w:rPr>
                <w:rFonts w:ascii="Arial" w:hAnsi="Arial" w:eastAsia="Arial"/>
                <w:b w:val="0"/>
                <w:i w:val="0"/>
                <w:color w:val="2A3140"/>
                <w:sz w:val="17"/>
              </w:rPr>
              <w:t>S18; listed; reconstructed second-hand series, 4–7 providers</w:t>
            </w:r>
          </w:p>
        </w:tc>
      </w:tr>
      <w:tr>
        <w:tc>
          <w:tcPr>
            <w:tcW w:type="dxa" w:w="2880"/>
          </w:tcPr>
          <w:p>
            <w:r/>
            <w:r>
              <w:rPr>
                <w:rFonts w:ascii="Arial" w:hAnsi="Arial" w:eastAsia="Arial"/>
                <w:b w:val="0"/>
                <w:i w:val="0"/>
                <w:color w:val="2A3140"/>
                <w:sz w:val="17"/>
              </w:rPr>
              <w:t>1-year commitment vs same provider on-demand, median</w:t>
            </w:r>
          </w:p>
        </w:tc>
        <w:tc>
          <w:tcPr>
            <w:tcW w:type="dxa" w:w="1620"/>
          </w:tcPr>
          <w:p>
            <w:r/>
            <w:r>
              <w:rPr>
                <w:rFonts w:ascii="Arial" w:hAnsi="Arial" w:eastAsia="Arial"/>
                <w:b w:val="0"/>
                <w:i w:val="0"/>
                <w:color w:val="2A3140"/>
                <w:sz w:val="17"/>
              </w:rPr>
              <w:t>%</w:t>
            </w:r>
          </w:p>
        </w:tc>
        <w:tc>
          <w:tcPr>
            <w:tcW w:type="dxa" w:w="1620"/>
          </w:tcPr>
          <w:p>
            <w:pPr>
              <w:jc w:val="right"/>
            </w:pPr>
            <w:r/>
            <w:r>
              <w:rPr>
                <w:rFonts w:ascii="Arial" w:hAnsi="Arial" w:eastAsia="Arial"/>
                <w:b w:val="0"/>
                <w:i w:val="0"/>
                <w:color w:val="2A3140"/>
                <w:sz w:val="17"/>
              </w:rPr>
              <w:t>(15.0%)</w:t>
            </w:r>
          </w:p>
        </w:tc>
        <w:tc>
          <w:tcPr>
            <w:tcW w:type="dxa" w:w="1620"/>
          </w:tcPr>
          <w:p>
            <w:r/>
            <w:r>
              <w:rPr>
                <w:rFonts w:ascii="Arial" w:hAnsi="Arial" w:eastAsia="Arial"/>
                <w:b w:val="0"/>
                <w:i w:val="0"/>
                <w:color w:val="2A3140"/>
                <w:sz w:val="17"/>
              </w:rPr>
              <w:t>12 Oct 2026</w:t>
            </w:r>
          </w:p>
        </w:tc>
        <w:tc>
          <w:tcPr>
            <w:tcW w:type="dxa" w:w="1620"/>
          </w:tcPr>
          <w:p>
            <w:r/>
            <w:r>
              <w:rPr>
                <w:rFonts w:ascii="Arial" w:hAnsi="Arial" w:eastAsia="Arial"/>
                <w:b w:val="0"/>
                <w:i w:val="0"/>
                <w:color w:val="2A3140"/>
                <w:sz w:val="17"/>
              </w:rPr>
              <w:t>S18; listed; 7 providers</w:t>
            </w:r>
          </w:p>
        </w:tc>
      </w:tr>
      <w:tr>
        <w:tc>
          <w:tcPr>
            <w:tcW w:type="dxa" w:w="2880"/>
          </w:tcPr>
          <w:p>
            <w:r/>
            <w:r>
              <w:rPr>
                <w:rFonts w:ascii="Arial" w:hAnsi="Arial" w:eastAsia="Arial"/>
                <w:b w:val="0"/>
                <w:i w:val="0"/>
                <w:color w:val="2A3140"/>
                <w:sz w:val="17"/>
              </w:rPr>
              <w:t>3-year commitment vs same provider on-demand, median</w:t>
            </w:r>
          </w:p>
        </w:tc>
        <w:tc>
          <w:tcPr>
            <w:tcW w:type="dxa" w:w="1620"/>
          </w:tcPr>
          <w:p>
            <w:r/>
            <w:r>
              <w:rPr>
                <w:rFonts w:ascii="Arial" w:hAnsi="Arial" w:eastAsia="Arial"/>
                <w:b w:val="0"/>
                <w:i w:val="0"/>
                <w:color w:val="2A3140"/>
                <w:sz w:val="17"/>
              </w:rPr>
              <w:t>%</w:t>
            </w:r>
          </w:p>
        </w:tc>
        <w:tc>
          <w:tcPr>
            <w:tcW w:type="dxa" w:w="1620"/>
          </w:tcPr>
          <w:p>
            <w:pPr>
              <w:jc w:val="right"/>
            </w:pPr>
            <w:r/>
            <w:r>
              <w:rPr>
                <w:rFonts w:ascii="Arial" w:hAnsi="Arial" w:eastAsia="Arial"/>
                <w:b w:val="0"/>
                <w:i w:val="0"/>
                <w:color w:val="2A3140"/>
                <w:sz w:val="17"/>
              </w:rPr>
              <w:t>(30.0%)</w:t>
            </w:r>
          </w:p>
        </w:tc>
        <w:tc>
          <w:tcPr>
            <w:tcW w:type="dxa" w:w="1620"/>
          </w:tcPr>
          <w:p>
            <w:r/>
            <w:r>
              <w:rPr>
                <w:rFonts w:ascii="Arial" w:hAnsi="Arial" w:eastAsia="Arial"/>
                <w:b w:val="0"/>
                <w:i w:val="0"/>
                <w:color w:val="2A3140"/>
                <w:sz w:val="17"/>
              </w:rPr>
              <w:t>12 Oct 2026</w:t>
            </w:r>
          </w:p>
        </w:tc>
        <w:tc>
          <w:tcPr>
            <w:tcW w:type="dxa" w:w="1620"/>
          </w:tcPr>
          <w:p>
            <w:r/>
            <w:r>
              <w:rPr>
                <w:rFonts w:ascii="Arial" w:hAnsi="Arial" w:eastAsia="Arial"/>
                <w:b w:val="0"/>
                <w:i w:val="0"/>
                <w:color w:val="2A3140"/>
                <w:sz w:val="17"/>
              </w:rPr>
              <w:t>S18; listed; 5 providers</w:t>
            </w:r>
          </w:p>
        </w:tc>
      </w:tr>
      <w:tr>
        <w:tc>
          <w:tcPr>
            <w:tcW w:type="dxa" w:w="2880"/>
          </w:tcPr>
          <w:p>
            <w:r/>
            <w:r>
              <w:rPr>
                <w:rFonts w:ascii="Arial" w:hAnsi="Arial" w:eastAsia="Arial"/>
                <w:b w:val="0"/>
                <w:i w:val="0"/>
                <w:color w:val="2A3140"/>
                <w:sz w:val="17"/>
              </w:rPr>
              <w:t>H100 1-year contract rental index</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1.70</w:t>
            </w:r>
          </w:p>
        </w:tc>
        <w:tc>
          <w:tcPr>
            <w:tcW w:type="dxa" w:w="1620"/>
          </w:tcPr>
          <w:p>
            <w:r/>
            <w:r>
              <w:rPr>
                <w:rFonts w:ascii="Arial" w:hAnsi="Arial" w:eastAsia="Arial"/>
                <w:b w:val="0"/>
                <w:i w:val="0"/>
                <w:color w:val="2A3140"/>
                <w:sz w:val="17"/>
              </w:rPr>
              <w:t>Oct 2025</w:t>
            </w:r>
          </w:p>
        </w:tc>
        <w:tc>
          <w:tcPr>
            <w:tcW w:type="dxa" w:w="1620"/>
          </w:tcPr>
          <w:p>
            <w:r/>
            <w:r>
              <w:rPr>
                <w:rFonts w:ascii="Arial" w:hAnsi="Arial" w:eastAsia="Arial"/>
                <w:b w:val="0"/>
                <w:i w:val="0"/>
                <w:color w:val="2A3140"/>
                <w:sz w:val="17"/>
              </w:rPr>
              <w:t>S20; survey-based; SemiAnalysis note dated 2 Apr 2026, fetched</w:t>
            </w:r>
          </w:p>
        </w:tc>
      </w:tr>
      <w:tr>
        <w:tc>
          <w:tcPr>
            <w:tcW w:type="dxa" w:w="2880"/>
          </w:tcPr>
          <w:p>
            <w:r/>
            <w:r>
              <w:rPr>
                <w:rFonts w:ascii="Arial" w:hAnsi="Arial" w:eastAsia="Arial"/>
                <w:b w:val="0"/>
                <w:i w:val="0"/>
                <w:color w:val="2A3140"/>
                <w:sz w:val="17"/>
              </w:rPr>
              <w:t>H100 1-year contract rental index</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2.35</w:t>
            </w:r>
          </w:p>
        </w:tc>
        <w:tc>
          <w:tcPr>
            <w:tcW w:type="dxa" w:w="1620"/>
          </w:tcPr>
          <w:p>
            <w:r/>
            <w:r>
              <w:rPr>
                <w:rFonts w:ascii="Arial" w:hAnsi="Arial" w:eastAsia="Arial"/>
                <w:b w:val="0"/>
                <w:i w:val="0"/>
                <w:color w:val="2A3140"/>
                <w:sz w:val="17"/>
              </w:rPr>
              <w:t>Mar 2026</w:t>
            </w:r>
          </w:p>
        </w:tc>
        <w:tc>
          <w:tcPr>
            <w:tcW w:type="dxa" w:w="1620"/>
          </w:tcPr>
          <w:p>
            <w:r/>
            <w:r>
              <w:rPr>
                <w:rFonts w:ascii="Arial" w:hAnsi="Arial" w:eastAsia="Arial"/>
                <w:b w:val="0"/>
                <w:i w:val="0"/>
                <w:color w:val="2A3140"/>
                <w:sz w:val="17"/>
              </w:rPr>
              <w:t>S20; survey-based; SemiAnalysis note dated 2 Apr 2026, fetched</w:t>
            </w:r>
          </w:p>
        </w:tc>
      </w:tr>
      <w:tr>
        <w:tc>
          <w:tcPr>
            <w:tcW w:type="dxa" w:w="2880"/>
          </w:tcPr>
          <w:p>
            <w:r/>
            <w:r>
              <w:rPr>
                <w:rFonts w:ascii="Arial" w:hAnsi="Arial" w:eastAsia="Arial"/>
                <w:b w:val="0"/>
                <w:i w:val="0"/>
                <w:color w:val="2A3140"/>
                <w:sz w:val="17"/>
              </w:rPr>
              <w:t>Legacy cohort (pre-2020 GPUs: V100, P100 …) on-demand median</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1.77</w:t>
            </w:r>
          </w:p>
        </w:tc>
        <w:tc>
          <w:tcPr>
            <w:tcW w:type="dxa" w:w="1620"/>
          </w:tcPr>
          <w:p>
            <w:r/>
            <w:r>
              <w:rPr>
                <w:rFonts w:ascii="Arial" w:hAnsi="Arial" w:eastAsia="Arial"/>
                <w:b w:val="0"/>
                <w:i w:val="0"/>
                <w:color w:val="2A3140"/>
                <w:sz w:val="17"/>
              </w:rPr>
              <w:t>Oct 2024</w:t>
            </w:r>
          </w:p>
        </w:tc>
        <w:tc>
          <w:tcPr>
            <w:tcW w:type="dxa" w:w="1620"/>
          </w:tcPr>
          <w:p>
            <w:r/>
            <w:r>
              <w:rPr>
                <w:rFonts w:ascii="Arial" w:hAnsi="Arial" w:eastAsia="Arial"/>
                <w:b w:val="0"/>
                <w:i w:val="0"/>
                <w:color w:val="2A3140"/>
                <w:sz w:val="17"/>
              </w:rPr>
              <w:t>S19; listed</w:t>
            </w:r>
          </w:p>
        </w:tc>
      </w:tr>
      <w:tr>
        <w:tc>
          <w:tcPr>
            <w:tcW w:type="dxa" w:w="2880"/>
          </w:tcPr>
          <w:p>
            <w:r/>
            <w:r>
              <w:rPr>
                <w:rFonts w:ascii="Arial" w:hAnsi="Arial" w:eastAsia="Arial"/>
                <w:b w:val="0"/>
                <w:i w:val="0"/>
                <w:color w:val="2A3140"/>
                <w:sz w:val="17"/>
              </w:rPr>
              <w:t>Legacy cohort on-demand median</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0.95</w:t>
            </w:r>
          </w:p>
        </w:tc>
        <w:tc>
          <w:tcPr>
            <w:tcW w:type="dxa" w:w="1620"/>
          </w:tcPr>
          <w:p>
            <w:r/>
            <w:r>
              <w:rPr>
                <w:rFonts w:ascii="Arial" w:hAnsi="Arial" w:eastAsia="Arial"/>
                <w:b w:val="0"/>
                <w:i w:val="0"/>
                <w:color w:val="2A3140"/>
                <w:sz w:val="17"/>
              </w:rPr>
              <w:t>Sep 2026</w:t>
            </w:r>
          </w:p>
        </w:tc>
        <w:tc>
          <w:tcPr>
            <w:tcW w:type="dxa" w:w="1620"/>
          </w:tcPr>
          <w:p>
            <w:r/>
            <w:r>
              <w:rPr>
                <w:rFonts w:ascii="Arial" w:hAnsi="Arial" w:eastAsia="Arial"/>
                <w:b w:val="0"/>
                <w:i w:val="0"/>
                <w:color w:val="2A3140"/>
                <w:sz w:val="17"/>
              </w:rPr>
              <w:t>S19; listed</w:t>
            </w:r>
          </w:p>
        </w:tc>
      </w:tr>
      <w:tr>
        <w:tc>
          <w:tcPr>
            <w:tcW w:type="dxa" w:w="2880"/>
          </w:tcPr>
          <w:p>
            <w:r/>
            <w:r>
              <w:rPr>
                <w:rFonts w:ascii="Arial" w:hAnsi="Arial" w:eastAsia="Arial"/>
                <w:b w:val="0"/>
                <w:i w:val="0"/>
                <w:color w:val="2A3140"/>
                <w:sz w:val="17"/>
              </w:rPr>
              <w:t>H100 on-demand median (AIMultiple panel)</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3.25</w:t>
            </w:r>
          </w:p>
        </w:tc>
        <w:tc>
          <w:tcPr>
            <w:tcW w:type="dxa" w:w="1620"/>
          </w:tcPr>
          <w:p>
            <w:r/>
            <w:r>
              <w:rPr>
                <w:rFonts w:ascii="Arial" w:hAnsi="Arial" w:eastAsia="Arial"/>
                <w:b w:val="0"/>
                <w:i w:val="0"/>
                <w:color w:val="2A3140"/>
                <w:sz w:val="17"/>
              </w:rPr>
              <w:t>Sep 2026</w:t>
            </w:r>
          </w:p>
        </w:tc>
        <w:tc>
          <w:tcPr>
            <w:tcW w:type="dxa" w:w="1620"/>
          </w:tcPr>
          <w:p>
            <w:r/>
            <w:r>
              <w:rPr>
                <w:rFonts w:ascii="Arial" w:hAnsi="Arial" w:eastAsia="Arial"/>
                <w:b w:val="0"/>
                <w:i w:val="0"/>
                <w:color w:val="2A3140"/>
                <w:sz w:val="17"/>
              </w:rPr>
              <w:t>S19; listed</w:t>
            </w:r>
          </w:p>
        </w:tc>
      </w:tr>
      <w:tr>
        <w:tc>
          <w:tcPr>
            <w:tcW w:type="dxa" w:w="2880"/>
          </w:tcPr>
          <w:p>
            <w:r/>
            <w:r>
              <w:rPr>
                <w:rFonts w:ascii="Arial" w:hAnsi="Arial" w:eastAsia="Arial"/>
                <w:b w:val="0"/>
                <w:i w:val="0"/>
                <w:color w:val="2A3140"/>
                <w:sz w:val="17"/>
              </w:rPr>
              <w:t>A100 on-demand median (AIMultiple panel)</w:t>
            </w:r>
          </w:p>
        </w:tc>
        <w:tc>
          <w:tcPr>
            <w:tcW w:type="dxa" w:w="1620"/>
          </w:tcPr>
          <w:p>
            <w:r/>
            <w:r>
              <w:rPr>
                <w:rFonts w:ascii="Arial" w:hAnsi="Arial" w:eastAsia="Arial"/>
                <w:b w:val="0"/>
                <w:i w:val="0"/>
                <w:color w:val="2A3140"/>
                <w:sz w:val="17"/>
              </w:rPr>
              <w:t>$/GPU-hr</w:t>
            </w:r>
          </w:p>
        </w:tc>
        <w:tc>
          <w:tcPr>
            <w:tcW w:type="dxa" w:w="1620"/>
          </w:tcPr>
          <w:p>
            <w:pPr>
              <w:jc w:val="right"/>
            </w:pPr>
            <w:r/>
            <w:r>
              <w:rPr>
                <w:rFonts w:ascii="Arial" w:hAnsi="Arial" w:eastAsia="Arial"/>
                <w:b w:val="0"/>
                <w:i w:val="0"/>
                <w:color w:val="2A3140"/>
                <w:sz w:val="17"/>
              </w:rPr>
              <w:t>1.76</w:t>
            </w:r>
          </w:p>
        </w:tc>
        <w:tc>
          <w:tcPr>
            <w:tcW w:type="dxa" w:w="1620"/>
          </w:tcPr>
          <w:p>
            <w:r/>
            <w:r>
              <w:rPr>
                <w:rFonts w:ascii="Arial" w:hAnsi="Arial" w:eastAsia="Arial"/>
                <w:b w:val="0"/>
                <w:i w:val="0"/>
                <w:color w:val="2A3140"/>
                <w:sz w:val="17"/>
              </w:rPr>
              <w:t>Sep 2026</w:t>
            </w:r>
          </w:p>
        </w:tc>
        <w:tc>
          <w:tcPr>
            <w:tcW w:type="dxa" w:w="1620"/>
          </w:tcPr>
          <w:p>
            <w:r/>
            <w:r>
              <w:rPr>
                <w:rFonts w:ascii="Arial" w:hAnsi="Arial" w:eastAsia="Arial"/>
                <w:b w:val="0"/>
                <w:i w:val="0"/>
                <w:color w:val="2A3140"/>
                <w:sz w:val="17"/>
              </w:rPr>
              <w:t>S19; listed</w:t>
            </w:r>
          </w:p>
        </w:tc>
      </w:tr>
      <w:tr>
        <w:tc>
          <w:tcPr>
            <w:tcW w:type="dxa" w:w="2880"/>
          </w:tcPr>
          <w:p>
            <w:r/>
            <w:r>
              <w:rPr>
                <w:rFonts w:ascii="Arial" w:hAnsi="Arial" w:eastAsia="Arial"/>
                <w:b w:val="0"/>
                <w:i w:val="0"/>
                <w:color w:val="2A3140"/>
                <w:sz w:val="17"/>
              </w:rPr>
              <w:t>H100 8-GPU HGX node, new: median asking price per GPU</w:t>
            </w:r>
          </w:p>
        </w:tc>
        <w:tc>
          <w:tcPr>
            <w:tcW w:type="dxa" w:w="1620"/>
          </w:tcPr>
          <w:p>
            <w:r/>
            <w:r>
              <w:rPr>
                <w:rFonts w:ascii="Arial" w:hAnsi="Arial" w:eastAsia="Arial"/>
                <w:b w:val="0"/>
                <w:i w:val="0"/>
                <w:color w:val="2A3140"/>
                <w:sz w:val="17"/>
              </w:rPr>
              <w:t>$/GPU</w:t>
            </w:r>
          </w:p>
        </w:tc>
        <w:tc>
          <w:tcPr>
            <w:tcW w:type="dxa" w:w="1620"/>
          </w:tcPr>
          <w:p>
            <w:pPr>
              <w:jc w:val="right"/>
            </w:pPr>
            <w:r/>
            <w:r>
              <w:rPr>
                <w:rFonts w:ascii="Arial" w:hAnsi="Arial" w:eastAsia="Arial"/>
                <w:b w:val="0"/>
                <w:i w:val="0"/>
                <w:color w:val="2A3140"/>
                <w:sz w:val="17"/>
              </w:rPr>
              <w:t>40,555</w:t>
            </w:r>
          </w:p>
        </w:tc>
        <w:tc>
          <w:tcPr>
            <w:tcW w:type="dxa" w:w="1620"/>
          </w:tcPr>
          <w:p>
            <w:r/>
            <w:r>
              <w:rPr>
                <w:rFonts w:ascii="Arial" w:hAnsi="Arial" w:eastAsia="Arial"/>
                <w:b w:val="0"/>
                <w:i w:val="0"/>
                <w:color w:val="2A3140"/>
                <w:sz w:val="17"/>
              </w:rPr>
              <w:t>31 Aug 2026</w:t>
            </w:r>
          </w:p>
        </w:tc>
        <w:tc>
          <w:tcPr>
            <w:tcW w:type="dxa" w:w="1620"/>
          </w:tcPr>
          <w:p>
            <w:r/>
            <w:r>
              <w:rPr>
                <w:rFonts w:ascii="Arial" w:hAnsi="Arial" w:eastAsia="Arial"/>
                <w:b w:val="0"/>
                <w:i w:val="0"/>
                <w:color w:val="2A3140"/>
                <w:sz w:val="17"/>
              </w:rPr>
              <w:t>S21; posted asks, not transactions</w:t>
            </w:r>
          </w:p>
        </w:tc>
      </w:tr>
      <w:tr>
        <w:tc>
          <w:tcPr>
            <w:tcW w:type="dxa" w:w="2880"/>
          </w:tcPr>
          <w:p>
            <w:r/>
            <w:r>
              <w:rPr>
                <w:rFonts w:ascii="Arial" w:hAnsi="Arial" w:eastAsia="Arial"/>
                <w:b w:val="0"/>
                <w:i w:val="0"/>
                <w:color w:val="2A3140"/>
                <w:sz w:val="17"/>
              </w:rPr>
              <w:t>H100 8-GPU HGX node, refurbished: median asking price per GPU</w:t>
            </w:r>
          </w:p>
        </w:tc>
        <w:tc>
          <w:tcPr>
            <w:tcW w:type="dxa" w:w="1620"/>
          </w:tcPr>
          <w:p>
            <w:r/>
            <w:r>
              <w:rPr>
                <w:rFonts w:ascii="Arial" w:hAnsi="Arial" w:eastAsia="Arial"/>
                <w:b w:val="0"/>
                <w:i w:val="0"/>
                <w:color w:val="2A3140"/>
                <w:sz w:val="17"/>
              </w:rPr>
              <w:t>$/GPU</w:t>
            </w:r>
          </w:p>
        </w:tc>
        <w:tc>
          <w:tcPr>
            <w:tcW w:type="dxa" w:w="1620"/>
          </w:tcPr>
          <w:p>
            <w:pPr>
              <w:jc w:val="right"/>
            </w:pPr>
            <w:r/>
            <w:r>
              <w:rPr>
                <w:rFonts w:ascii="Arial" w:hAnsi="Arial" w:eastAsia="Arial"/>
                <w:b w:val="0"/>
                <w:i w:val="0"/>
                <w:color w:val="2A3140"/>
                <w:sz w:val="17"/>
              </w:rPr>
              <w:t>30,750</w:t>
            </w:r>
          </w:p>
        </w:tc>
        <w:tc>
          <w:tcPr>
            <w:tcW w:type="dxa" w:w="1620"/>
          </w:tcPr>
          <w:p>
            <w:r/>
            <w:r>
              <w:rPr>
                <w:rFonts w:ascii="Arial" w:hAnsi="Arial" w:eastAsia="Arial"/>
                <w:b w:val="0"/>
                <w:i w:val="0"/>
                <w:color w:val="2A3140"/>
                <w:sz w:val="17"/>
              </w:rPr>
              <w:t>31 Aug 2026</w:t>
            </w:r>
          </w:p>
        </w:tc>
        <w:tc>
          <w:tcPr>
            <w:tcW w:type="dxa" w:w="1620"/>
          </w:tcPr>
          <w:p>
            <w:r/>
            <w:r>
              <w:rPr>
                <w:rFonts w:ascii="Arial" w:hAnsi="Arial" w:eastAsia="Arial"/>
                <w:b w:val="0"/>
                <w:i w:val="0"/>
                <w:color w:val="2A3140"/>
                <w:sz w:val="17"/>
              </w:rPr>
              <w:t>S21; posted asks, not transactions</w:t>
            </w:r>
          </w:p>
        </w:tc>
      </w:tr>
      <w:tr>
        <w:tc>
          <w:tcPr>
            <w:tcW w:type="dxa" w:w="2880"/>
          </w:tcPr>
          <w:p>
            <w:r/>
            <w:r>
              <w:rPr>
                <w:rFonts w:ascii="Arial" w:hAnsi="Arial" w:eastAsia="Arial"/>
                <w:b w:val="0"/>
                <w:i w:val="0"/>
                <w:color w:val="2A3140"/>
                <w:sz w:val="17"/>
              </w:rPr>
              <w:t>B300 8-GPU HGX node, new: median asking price per GPU</w:t>
            </w:r>
          </w:p>
        </w:tc>
        <w:tc>
          <w:tcPr>
            <w:tcW w:type="dxa" w:w="1620"/>
          </w:tcPr>
          <w:p>
            <w:r/>
            <w:r>
              <w:rPr>
                <w:rFonts w:ascii="Arial" w:hAnsi="Arial" w:eastAsia="Arial"/>
                <w:b w:val="0"/>
                <w:i w:val="0"/>
                <w:color w:val="2A3140"/>
                <w:sz w:val="17"/>
              </w:rPr>
              <w:t>$/GPU</w:t>
            </w:r>
          </w:p>
        </w:tc>
        <w:tc>
          <w:tcPr>
            <w:tcW w:type="dxa" w:w="1620"/>
          </w:tcPr>
          <w:p>
            <w:pPr>
              <w:jc w:val="right"/>
            </w:pPr>
            <w:r/>
            <w:r>
              <w:rPr>
                <w:rFonts w:ascii="Arial" w:hAnsi="Arial" w:eastAsia="Arial"/>
                <w:b w:val="0"/>
                <w:i w:val="0"/>
                <w:color w:val="2A3140"/>
                <w:sz w:val="17"/>
              </w:rPr>
              <w:t>68,035</w:t>
            </w:r>
          </w:p>
        </w:tc>
        <w:tc>
          <w:tcPr>
            <w:tcW w:type="dxa" w:w="1620"/>
          </w:tcPr>
          <w:p>
            <w:r/>
            <w:r>
              <w:rPr>
                <w:rFonts w:ascii="Arial" w:hAnsi="Arial" w:eastAsia="Arial"/>
                <w:b w:val="0"/>
                <w:i w:val="0"/>
                <w:color w:val="2A3140"/>
                <w:sz w:val="17"/>
              </w:rPr>
              <w:t>31 Aug 2026</w:t>
            </w:r>
          </w:p>
        </w:tc>
        <w:tc>
          <w:tcPr>
            <w:tcW w:type="dxa" w:w="1620"/>
          </w:tcPr>
          <w:p>
            <w:r/>
            <w:r>
              <w:rPr>
                <w:rFonts w:ascii="Arial" w:hAnsi="Arial" w:eastAsia="Arial"/>
                <w:b w:val="0"/>
                <w:i w:val="0"/>
                <w:color w:val="2A3140"/>
                <w:sz w:val="17"/>
              </w:rPr>
              <w:t>S21; posted asks, not transactions</w:t>
            </w:r>
          </w:p>
        </w:tc>
      </w:tr>
    </w:tbl>
    <w:p/>
    <w:p>
      <w:r>
        <w:rPr>
          <w:rFonts w:ascii="Arial" w:hAnsi="Arial" w:eastAsia="Arial"/>
          <w:b w:val="0"/>
          <w:i/>
          <w:color w:val="2A3140"/>
          <w:sz w:val="21"/>
        </w:rPr>
        <w:t>Indices measure different things (transacted, listed, survey). No public data set gives realized resale prices for five-year-old data center GPUs in volume.</w:t>
      </w:r>
    </w:p>
    <w:p>
      <w:r>
        <w:rPr>
          <w:rFonts w:ascii="Arial" w:hAnsi="Arial" w:eastAsia="Arial"/>
          <w:b/>
          <w:i w:val="0"/>
          <w:color w:val="2A3140"/>
          <w:sz w:val="21"/>
        </w:rPr>
        <w:t>Exhibit 6 extract: pricing reference points</w:t>
      </w:r>
      <w:r>
        <w:rPr>
          <w:rFonts w:ascii="Arial" w:hAnsi="Arial" w:eastAsia="Arial"/>
          <w:b w:val="0"/>
          <w:i w:val="0"/>
          <w:color w:val="2A3140"/>
          <w:sz w:val="21"/>
        </w:rPr>
        <w:t xml:space="preserve"> (rates per annum; secondary marks labelled)</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880"/>
        <w:gridCol w:w="1620"/>
        <w:gridCol w:w="1620"/>
        <w:gridCol w:w="1620"/>
        <w:gridCol w:w="1620"/>
      </w:tblGrid>
      <w:tr>
        <w:tc>
          <w:tcPr>
            <w:tcW w:type="dxa" w:w="2880"/>
            <w:shd w:val="clear" w:color="auto" w:fill="E4EAF3"/>
          </w:tcPr>
          <w:p>
            <w:r/>
            <w:r>
              <w:rPr>
                <w:rFonts w:ascii="Arial" w:hAnsi="Arial" w:eastAsia="Arial"/>
                <w:b/>
                <w:i w:val="0"/>
                <w:color w:val="121826"/>
                <w:sz w:val="17"/>
              </w:rPr>
              <w:t>CoreWeave DDTL family</w:t>
            </w:r>
          </w:p>
        </w:tc>
        <w:tc>
          <w:tcPr>
            <w:tcW w:type="dxa" w:w="1620"/>
            <w:shd w:val="clear" w:color="auto" w:fill="E4EAF3"/>
          </w:tcPr>
          <w:p>
            <w:r/>
            <w:r>
              <w:rPr>
                <w:rFonts w:ascii="Arial" w:hAnsi="Arial" w:eastAsia="Arial"/>
                <w:b/>
                <w:i w:val="0"/>
                <w:color w:val="121826"/>
                <w:sz w:val="17"/>
              </w:rPr>
              <w:t>Signed</w:t>
            </w:r>
          </w:p>
        </w:tc>
        <w:tc>
          <w:tcPr>
            <w:tcW w:type="dxa" w:w="1620"/>
            <w:shd w:val="clear" w:color="auto" w:fill="E4EAF3"/>
          </w:tcPr>
          <w:p>
            <w:r/>
            <w:r>
              <w:rPr>
                <w:rFonts w:ascii="Arial" w:hAnsi="Arial" w:eastAsia="Arial"/>
                <w:b/>
                <w:i w:val="0"/>
                <w:color w:val="121826"/>
                <w:sz w:val="17"/>
              </w:rPr>
              <w:t>Pricing</w:t>
            </w:r>
          </w:p>
        </w:tc>
        <w:tc>
          <w:tcPr>
            <w:tcW w:type="dxa" w:w="1620"/>
            <w:shd w:val="clear" w:color="auto" w:fill="E4EAF3"/>
          </w:tcPr>
          <w:p>
            <w:r/>
            <w:r>
              <w:rPr>
                <w:rFonts w:ascii="Arial" w:hAnsi="Arial" w:eastAsia="Arial"/>
                <w:b/>
                <w:i w:val="0"/>
                <w:color w:val="121826"/>
                <w:sz w:val="17"/>
              </w:rPr>
              <w:t>Maturity</w:t>
            </w:r>
          </w:p>
        </w:tc>
        <w:tc>
          <w:tcPr>
            <w:tcW w:type="dxa" w:w="1620"/>
            <w:shd w:val="clear" w:color="auto" w:fill="E4EAF3"/>
          </w:tcPr>
          <w:p>
            <w:r/>
            <w:r>
              <w:rPr>
                <w:rFonts w:ascii="Arial" w:hAnsi="Arial" w:eastAsia="Arial"/>
                <w:b/>
                <w:i w:val="0"/>
                <w:color w:val="121826"/>
                <w:sz w:val="17"/>
              </w:rPr>
              <w:t>Rating</w:t>
            </w:r>
          </w:p>
        </w:tc>
      </w:tr>
      <w:tr>
        <w:tc>
          <w:tcPr>
            <w:tcW w:type="dxa" w:w="2880"/>
          </w:tcPr>
          <w:p>
            <w:r/>
            <w:r>
              <w:rPr>
                <w:rFonts w:ascii="Arial" w:hAnsi="Arial" w:eastAsia="Arial"/>
                <w:b w:val="0"/>
                <w:i w:val="0"/>
                <w:color w:val="2A3140"/>
                <w:sz w:val="17"/>
              </w:rPr>
              <w:t>DDTL 4.0 (non-recourse; $8.5bn)</w:t>
            </w:r>
          </w:p>
        </w:tc>
        <w:tc>
          <w:tcPr>
            <w:tcW w:type="dxa" w:w="1620"/>
          </w:tcPr>
          <w:p>
            <w:r/>
            <w:r>
              <w:rPr>
                <w:rFonts w:ascii="Arial" w:hAnsi="Arial" w:eastAsia="Arial"/>
                <w:b w:val="0"/>
                <w:i w:val="0"/>
                <w:color w:val="2A3140"/>
                <w:sz w:val="17"/>
              </w:rPr>
              <w:t>Mar 2026</w:t>
            </w:r>
          </w:p>
        </w:tc>
        <w:tc>
          <w:tcPr>
            <w:tcW w:type="dxa" w:w="1620"/>
          </w:tcPr>
          <w:p>
            <w:r/>
            <w:r>
              <w:rPr>
                <w:rFonts w:ascii="Arial" w:hAnsi="Arial" w:eastAsia="Arial"/>
                <w:b w:val="0"/>
                <w:i w:val="0"/>
                <w:color w:val="2A3140"/>
                <w:sz w:val="17"/>
              </w:rPr>
              <w:t>Term SOFR + 2.25% floating; fixed tranche at Treasury + 2.00%</w:t>
            </w:r>
          </w:p>
        </w:tc>
        <w:tc>
          <w:tcPr>
            <w:tcW w:type="dxa" w:w="1620"/>
          </w:tcPr>
          <w:p>
            <w:r/>
            <w:r>
              <w:rPr>
                <w:rFonts w:ascii="Arial" w:hAnsi="Arial" w:eastAsia="Arial"/>
                <w:b w:val="0"/>
                <w:i w:val="0"/>
                <w:color w:val="2A3140"/>
                <w:sz w:val="17"/>
              </w:rPr>
              <w:t>Mar 2032</w:t>
            </w:r>
          </w:p>
        </w:tc>
        <w:tc>
          <w:tcPr>
            <w:tcW w:type="dxa" w:w="1620"/>
          </w:tcPr>
          <w:p>
            <w:r/>
            <w:r>
              <w:rPr>
                <w:rFonts w:ascii="Arial" w:hAnsi="Arial" w:eastAsia="Arial"/>
                <w:b w:val="0"/>
                <w:i w:val="0"/>
                <w:color w:val="2A3140"/>
                <w:sz w:val="17"/>
              </w:rPr>
              <w:t>A3 (Moody's) / A (low) (DBRS); company describes it as backed by one investment-grade customer contract</w:t>
            </w:r>
          </w:p>
        </w:tc>
      </w:tr>
      <w:tr>
        <w:tc>
          <w:tcPr>
            <w:tcW w:type="dxa" w:w="2880"/>
          </w:tcPr>
          <w:p>
            <w:r/>
            <w:r>
              <w:rPr>
                <w:rFonts w:ascii="Arial" w:hAnsi="Arial" w:eastAsia="Arial"/>
                <w:b w:val="0"/>
                <w:i w:val="0"/>
                <w:color w:val="2A3140"/>
                <w:sz w:val="17"/>
              </w:rPr>
              <w:t>DDTL 5.0 (parent-guaranteed; $3.1bn)</w:t>
            </w:r>
          </w:p>
        </w:tc>
        <w:tc>
          <w:tcPr>
            <w:tcW w:type="dxa" w:w="1620"/>
          </w:tcPr>
          <w:p>
            <w:r/>
            <w:r>
              <w:rPr>
                <w:rFonts w:ascii="Arial" w:hAnsi="Arial" w:eastAsia="Arial"/>
                <w:b w:val="0"/>
                <w:i w:val="0"/>
                <w:color w:val="2A3140"/>
                <w:sz w:val="17"/>
              </w:rPr>
              <w:t>May 2026</w:t>
            </w:r>
          </w:p>
        </w:tc>
        <w:tc>
          <w:tcPr>
            <w:tcW w:type="dxa" w:w="1620"/>
          </w:tcPr>
          <w:p>
            <w:r/>
            <w:r>
              <w:rPr>
                <w:rFonts w:ascii="Arial" w:hAnsi="Arial" w:eastAsia="Arial"/>
                <w:b w:val="0"/>
                <w:i w:val="0"/>
                <w:color w:val="2A3140"/>
                <w:sz w:val="17"/>
              </w:rPr>
              <w:t>Term SOFR + 4.50%; 0.50% undrawn fee; monthly amortization from Nov 2026 to May 2031</w:t>
            </w:r>
          </w:p>
        </w:tc>
        <w:tc>
          <w:tcPr>
            <w:tcW w:type="dxa" w:w="1620"/>
          </w:tcPr>
          <w:p>
            <w:r/>
            <w:r>
              <w:rPr>
                <w:rFonts w:ascii="Arial" w:hAnsi="Arial" w:eastAsia="Arial"/>
                <w:b w:val="0"/>
                <w:i w:val="0"/>
                <w:color w:val="2A3140"/>
                <w:sz w:val="17"/>
              </w:rPr>
              <w:t>May 2031 (final payment)</w:t>
            </w:r>
          </w:p>
        </w:tc>
        <w:tc>
          <w:tcPr>
            <w:tcW w:type="dxa" w:w="1620"/>
          </w:tcPr>
          <w:p>
            <w:r/>
            <w:r>
              <w:rPr>
                <w:rFonts w:ascii="Arial" w:hAnsi="Arial" w:eastAsia="Arial"/>
                <w:b w:val="0"/>
                <w:i w:val="0"/>
                <w:color w:val="2A3140"/>
                <w:sz w:val="17"/>
              </w:rPr>
              <w:t>BB+ (Fitch, 30 Apr 2026)</w:t>
            </w:r>
          </w:p>
        </w:tc>
      </w:tr>
      <w:tr>
        <w:tc>
          <w:tcPr>
            <w:tcW w:type="dxa" w:w="2880"/>
          </w:tcPr>
          <w:p>
            <w:r/>
            <w:r>
              <w:rPr>
                <w:rFonts w:ascii="Arial" w:hAnsi="Arial" w:eastAsia="Arial"/>
                <w:b w:val="0"/>
                <w:i w:val="0"/>
                <w:color w:val="2A3140"/>
                <w:sz w:val="17"/>
              </w:rPr>
              <w:t>DDTL 5.5 (parent-guaranteed; $2.6bn)</w:t>
            </w:r>
          </w:p>
        </w:tc>
        <w:tc>
          <w:tcPr>
            <w:tcW w:type="dxa" w:w="1620"/>
          </w:tcPr>
          <w:p>
            <w:r/>
            <w:r>
              <w:rPr>
                <w:rFonts w:ascii="Arial" w:hAnsi="Arial" w:eastAsia="Arial"/>
                <w:b w:val="0"/>
                <w:i w:val="0"/>
                <w:color w:val="2A3140"/>
                <w:sz w:val="17"/>
              </w:rPr>
              <w:t>Aug 2026</w:t>
            </w:r>
          </w:p>
        </w:tc>
        <w:tc>
          <w:tcPr>
            <w:tcW w:type="dxa" w:w="1620"/>
          </w:tcPr>
          <w:p>
            <w:r/>
            <w:r>
              <w:rPr>
                <w:rFonts w:ascii="Arial" w:hAnsi="Arial" w:eastAsia="Arial"/>
                <w:b w:val="0"/>
                <w:i w:val="0"/>
                <w:color w:val="2A3140"/>
                <w:sz w:val="17"/>
              </w:rPr>
              <w:t>Term SOFR + 5.50%; 0.50% undrawn fee; amortization per Schedule 2.08 (not filed)</w:t>
            </w:r>
          </w:p>
        </w:tc>
        <w:tc>
          <w:tcPr>
            <w:tcW w:type="dxa" w:w="1620"/>
          </w:tcPr>
          <w:p>
            <w:r/>
            <w:r>
              <w:rPr>
                <w:rFonts w:ascii="Arial" w:hAnsi="Arial" w:eastAsia="Arial"/>
                <w:b w:val="0"/>
                <w:i w:val="0"/>
                <w:color w:val="2A3140"/>
                <w:sz w:val="17"/>
              </w:rPr>
              <w:t>1 Sep 2031</w:t>
            </w:r>
          </w:p>
        </w:tc>
        <w:tc>
          <w:tcPr>
            <w:tcW w:type="dxa" w:w="1620"/>
          </w:tcPr>
          <w:p>
            <w:r/>
            <w:r>
              <w:rPr>
                <w:rFonts w:ascii="Arial" w:hAnsi="Arial" w:eastAsia="Arial"/>
                <w:b w:val="0"/>
                <w:i w:val="0"/>
                <w:color w:val="2A3140"/>
                <w:sz w:val="17"/>
              </w:rPr>
              <w:t>Ba2 (Moody's) / BB+ (Fitch)</w:t>
            </w:r>
          </w:p>
        </w:tc>
      </w:tr>
    </w:tbl>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880"/>
        <w:gridCol w:w="1296"/>
        <w:gridCol w:w="1296"/>
        <w:gridCol w:w="1296"/>
        <w:gridCol w:w="1296"/>
        <w:gridCol w:w="1296"/>
      </w:tblGrid>
      <w:tr>
        <w:tc>
          <w:tcPr>
            <w:tcW w:type="dxa" w:w="2880"/>
            <w:shd w:val="clear" w:color="auto" w:fill="E4EAF3"/>
          </w:tcPr>
          <w:p>
            <w:r/>
            <w:r>
              <w:rPr>
                <w:rFonts w:ascii="Arial" w:hAnsi="Arial" w:eastAsia="Arial"/>
                <w:b/>
                <w:i w:val="0"/>
                <w:color w:val="121826"/>
                <w:sz w:val="17"/>
              </w:rPr>
              <w:t>CoreWeave bonds</w:t>
            </w:r>
          </w:p>
        </w:tc>
        <w:tc>
          <w:tcPr>
            <w:tcW w:type="dxa" w:w="1296"/>
            <w:shd w:val="clear" w:color="auto" w:fill="E4EAF3"/>
          </w:tcPr>
          <w:p>
            <w:r/>
            <w:r>
              <w:rPr>
                <w:rFonts w:ascii="Arial" w:hAnsi="Arial" w:eastAsia="Arial"/>
                <w:b/>
                <w:i w:val="0"/>
                <w:color w:val="121826"/>
                <w:sz w:val="17"/>
              </w:rPr>
              <w:t>Ranking</w:t>
            </w:r>
          </w:p>
        </w:tc>
        <w:tc>
          <w:tcPr>
            <w:tcW w:type="dxa" w:w="1296"/>
            <w:shd w:val="clear" w:color="auto" w:fill="E4EAF3"/>
          </w:tcPr>
          <w:p>
            <w:r/>
            <w:r>
              <w:rPr>
                <w:rFonts w:ascii="Arial" w:hAnsi="Arial" w:eastAsia="Arial"/>
                <w:b/>
                <w:i w:val="0"/>
                <w:color w:val="121826"/>
                <w:sz w:val="17"/>
              </w:rPr>
              <w:t>As of</w:t>
            </w:r>
          </w:p>
        </w:tc>
        <w:tc>
          <w:tcPr>
            <w:tcW w:type="dxa" w:w="1296"/>
            <w:shd w:val="clear" w:color="auto" w:fill="E4EAF3"/>
          </w:tcPr>
          <w:p>
            <w:r/>
            <w:r>
              <w:rPr>
                <w:rFonts w:ascii="Arial" w:hAnsi="Arial" w:eastAsia="Arial"/>
                <w:b/>
                <w:i w:val="0"/>
                <w:color w:val="121826"/>
                <w:sz w:val="17"/>
              </w:rPr>
              <w:t>Price</w:t>
            </w:r>
          </w:p>
        </w:tc>
        <w:tc>
          <w:tcPr>
            <w:tcW w:type="dxa" w:w="1296"/>
            <w:shd w:val="clear" w:color="auto" w:fill="E4EAF3"/>
          </w:tcPr>
          <w:p>
            <w:r/>
            <w:r>
              <w:rPr>
                <w:rFonts w:ascii="Arial" w:hAnsi="Arial" w:eastAsia="Arial"/>
                <w:b/>
                <w:i w:val="0"/>
                <w:color w:val="121826"/>
                <w:sz w:val="17"/>
              </w:rPr>
              <w:t>Yield to maturity</w:t>
            </w:r>
          </w:p>
        </w:tc>
        <w:tc>
          <w:tcPr>
            <w:tcW w:type="dxa" w:w="1296"/>
            <w:shd w:val="clear" w:color="auto" w:fill="E4EAF3"/>
          </w:tcPr>
          <w:p>
            <w:r/>
            <w:r>
              <w:rPr>
                <w:rFonts w:ascii="Arial" w:hAnsi="Arial" w:eastAsia="Arial"/>
                <w:b/>
                <w:i w:val="0"/>
                <w:color w:val="121826"/>
                <w:sz w:val="17"/>
              </w:rPr>
              <w:t>Source</w:t>
            </w:r>
          </w:p>
        </w:tc>
      </w:tr>
      <w:tr>
        <w:tc>
          <w:tcPr>
            <w:tcW w:type="dxa" w:w="2880"/>
          </w:tcPr>
          <w:p>
            <w:r/>
            <w:r>
              <w:rPr>
                <w:rFonts w:ascii="Arial" w:hAnsi="Arial" w:eastAsia="Arial"/>
                <w:b w:val="0"/>
                <w:i w:val="0"/>
                <w:color w:val="2A3140"/>
                <w:sz w:val="17"/>
              </w:rPr>
              <w:t>9.25% senior notes due 1 Jun 2030 (CUSIP 21873SAB4)</w:t>
            </w:r>
          </w:p>
        </w:tc>
        <w:tc>
          <w:tcPr>
            <w:tcW w:type="dxa" w:w="1296"/>
          </w:tcPr>
          <w:p>
            <w:r/>
            <w:r>
              <w:rPr>
                <w:rFonts w:ascii="Arial" w:hAnsi="Arial" w:eastAsia="Arial"/>
                <w:b w:val="0"/>
                <w:i w:val="0"/>
                <w:color w:val="2A3140"/>
                <w:sz w:val="17"/>
              </w:rPr>
              <w:t>Senior unsecured</w:t>
            </w:r>
          </w:p>
        </w:tc>
        <w:tc>
          <w:tcPr>
            <w:tcW w:type="dxa" w:w="1296"/>
          </w:tcPr>
          <w:p>
            <w:r/>
            <w:r>
              <w:rPr>
                <w:rFonts w:ascii="Arial" w:hAnsi="Arial" w:eastAsia="Arial"/>
                <w:b w:val="0"/>
                <w:i w:val="0"/>
                <w:color w:val="2A3140"/>
                <w:sz w:val="17"/>
              </w:rPr>
              <w:t>8 Oct 2026</w:t>
            </w:r>
          </w:p>
        </w:tc>
        <w:tc>
          <w:tcPr>
            <w:tcW w:type="dxa" w:w="1296"/>
          </w:tcPr>
          <w:p>
            <w:pPr>
              <w:jc w:val="right"/>
            </w:pPr>
            <w:r/>
            <w:r>
              <w:rPr>
                <w:rFonts w:ascii="Arial" w:hAnsi="Arial" w:eastAsia="Arial"/>
                <w:b w:val="0"/>
                <w:i w:val="0"/>
                <w:color w:val="2A3140"/>
                <w:sz w:val="17"/>
              </w:rPr>
              <w:t>92.03</w:t>
            </w:r>
          </w:p>
        </w:tc>
        <w:tc>
          <w:tcPr>
            <w:tcW w:type="dxa" w:w="1296"/>
          </w:tcPr>
          <w:p>
            <w:pPr>
              <w:jc w:val="right"/>
            </w:pPr>
            <w:r/>
            <w:r>
              <w:rPr>
                <w:rFonts w:ascii="Arial" w:hAnsi="Arial" w:eastAsia="Arial"/>
                <w:b w:val="0"/>
                <w:i w:val="0"/>
                <w:color w:val="2A3140"/>
                <w:sz w:val="17"/>
              </w:rPr>
              <w:t>12.00%</w:t>
            </w:r>
          </w:p>
        </w:tc>
        <w:tc>
          <w:tcPr>
            <w:tcW w:type="dxa" w:w="1296"/>
          </w:tcPr>
          <w:p>
            <w:r/>
            <w:r>
              <w:rPr>
                <w:rFonts w:ascii="Arial" w:hAnsi="Arial" w:eastAsia="Arial"/>
                <w:b w:val="0"/>
                <w:i w:val="0"/>
                <w:color w:val="2A3140"/>
                <w:sz w:val="17"/>
              </w:rPr>
              <w:t>S12</w:t>
            </w:r>
          </w:p>
        </w:tc>
      </w:tr>
      <w:tr>
        <w:tc>
          <w:tcPr>
            <w:tcW w:type="dxa" w:w="2880"/>
          </w:tcPr>
          <w:p>
            <w:r/>
            <w:r>
              <w:rPr>
                <w:rFonts w:ascii="Arial" w:hAnsi="Arial" w:eastAsia="Arial"/>
                <w:b w:val="0"/>
                <w:i w:val="0"/>
                <w:color w:val="2A3140"/>
                <w:sz w:val="17"/>
              </w:rPr>
              <w:t>9.25% senior notes due 2030: second indicative mark</w:t>
            </w:r>
          </w:p>
        </w:tc>
        <w:tc>
          <w:tcPr>
            <w:tcW w:type="dxa" w:w="1296"/>
          </w:tcPr>
          <w:p>
            <w:r/>
            <w:r>
              <w:rPr>
                <w:rFonts w:ascii="Arial" w:hAnsi="Arial" w:eastAsia="Arial"/>
                <w:b w:val="0"/>
                <w:i w:val="0"/>
                <w:color w:val="2A3140"/>
                <w:sz w:val="17"/>
              </w:rPr>
              <w:t>Senior unsecured</w:t>
            </w:r>
          </w:p>
        </w:tc>
        <w:tc>
          <w:tcPr>
            <w:tcW w:type="dxa" w:w="1296"/>
          </w:tcPr>
          <w:p>
            <w:r/>
            <w:r>
              <w:rPr>
                <w:rFonts w:ascii="Arial" w:hAnsi="Arial" w:eastAsia="Arial"/>
                <w:b w:val="0"/>
                <w:i w:val="0"/>
                <w:color w:val="2A3140"/>
                <w:sz w:val="17"/>
              </w:rPr>
              <w:t>9 Oct 2026</w:t>
            </w:r>
          </w:p>
        </w:tc>
        <w:tc>
          <w:tcPr>
            <w:tcW w:type="dxa" w:w="1296"/>
          </w:tcPr>
          <w:p>
            <w:pPr>
              <w:jc w:val="right"/>
            </w:pPr>
            <w:r/>
            <w:r>
              <w:rPr>
                <w:rFonts w:ascii="Arial" w:hAnsi="Arial" w:eastAsia="Arial"/>
                <w:b w:val="0"/>
                <w:i w:val="0"/>
                <w:color w:val="2A3140"/>
                <w:sz w:val="17"/>
              </w:rPr>
              <w:t>93.702</w:t>
            </w:r>
          </w:p>
        </w:tc>
        <w:tc>
          <w:tcPr>
            <w:tcW w:type="dxa" w:w="1296"/>
          </w:tcPr>
          <w:p>
            <w:pPr>
              <w:jc w:val="right"/>
            </w:pPr>
            <w:r/>
            <w:r>
              <w:rPr>
                <w:rFonts w:ascii="Arial" w:hAnsi="Arial" w:eastAsia="Arial"/>
                <w:b w:val="0"/>
                <w:i w:val="0"/>
                <w:color w:val="2A3140"/>
                <w:sz w:val="17"/>
              </w:rPr>
              <w:t>11.40%</w:t>
            </w:r>
          </w:p>
        </w:tc>
        <w:tc>
          <w:tcPr>
            <w:tcW w:type="dxa" w:w="1296"/>
          </w:tcPr>
          <w:p>
            <w:r/>
            <w:r>
              <w:rPr>
                <w:rFonts w:ascii="Arial" w:hAnsi="Arial" w:eastAsia="Arial"/>
                <w:b w:val="0"/>
                <w:i w:val="0"/>
                <w:color w:val="2A3140"/>
                <w:sz w:val="17"/>
              </w:rPr>
              <w:t>S13</w:t>
            </w:r>
          </w:p>
        </w:tc>
      </w:tr>
      <w:tr>
        <w:tc>
          <w:tcPr>
            <w:tcW w:type="dxa" w:w="2880"/>
          </w:tcPr>
          <w:p>
            <w:r/>
            <w:r>
              <w:rPr>
                <w:rFonts w:ascii="Arial" w:hAnsi="Arial" w:eastAsia="Arial"/>
                <w:b w:val="0"/>
                <w:i w:val="0"/>
                <w:color w:val="2A3140"/>
                <w:sz w:val="17"/>
              </w:rPr>
              <w:t>9.25% senior notes due 2030: earlier bid</w:t>
            </w:r>
          </w:p>
        </w:tc>
        <w:tc>
          <w:tcPr>
            <w:tcW w:type="dxa" w:w="1296"/>
          </w:tcPr>
          <w:p>
            <w:r/>
            <w:r>
              <w:rPr>
                <w:rFonts w:ascii="Arial" w:hAnsi="Arial" w:eastAsia="Arial"/>
                <w:b w:val="0"/>
                <w:i w:val="0"/>
                <w:color w:val="2A3140"/>
                <w:sz w:val="17"/>
              </w:rPr>
              <w:t>Senior unsecured</w:t>
            </w:r>
          </w:p>
        </w:tc>
        <w:tc>
          <w:tcPr>
            <w:tcW w:type="dxa" w:w="1296"/>
          </w:tcPr>
          <w:p>
            <w:r/>
            <w:r>
              <w:rPr>
                <w:rFonts w:ascii="Arial" w:hAnsi="Arial" w:eastAsia="Arial"/>
                <w:b w:val="0"/>
                <w:i w:val="0"/>
                <w:color w:val="2A3140"/>
                <w:sz w:val="17"/>
              </w:rPr>
              <w:t>22 Aug 2026</w:t>
            </w:r>
          </w:p>
        </w:tc>
        <w:tc>
          <w:tcPr>
            <w:tcW w:type="dxa" w:w="1296"/>
          </w:tcPr>
          <w:p>
            <w:pPr>
              <w:jc w:val="right"/>
            </w:pPr>
            <w:r/>
            <w:r>
              <w:rPr>
                <w:rFonts w:ascii="Arial" w:hAnsi="Arial" w:eastAsia="Arial"/>
                <w:b w:val="0"/>
                <w:i w:val="0"/>
                <w:color w:val="2A3140"/>
                <w:sz w:val="17"/>
              </w:rPr>
              <w:t>94.203</w:t>
            </w:r>
          </w:p>
        </w:tc>
        <w:tc>
          <w:tcPr>
            <w:tcW w:type="dxa" w:w="1296"/>
          </w:tcPr>
          <w:p>
            <w:pPr>
              <w:jc w:val="right"/>
            </w:pPr>
            <w:r/>
            <w:r>
              <w:rPr>
                <w:rFonts w:ascii="Arial" w:hAnsi="Arial" w:eastAsia="Arial"/>
                <w:b w:val="0"/>
                <w:i w:val="0"/>
                <w:color w:val="2A3140"/>
                <w:sz w:val="17"/>
              </w:rPr>
              <w:t>11.17%</w:t>
            </w:r>
          </w:p>
        </w:tc>
        <w:tc>
          <w:tcPr>
            <w:tcW w:type="dxa" w:w="1296"/>
          </w:tcPr>
          <w:p>
            <w:r/>
            <w:r>
              <w:rPr>
                <w:rFonts w:ascii="Arial" w:hAnsi="Arial" w:eastAsia="Arial"/>
                <w:b w:val="0"/>
                <w:i w:val="0"/>
                <w:color w:val="2A3140"/>
                <w:sz w:val="17"/>
              </w:rPr>
              <w:t>S13</w:t>
            </w:r>
          </w:p>
        </w:tc>
      </w:tr>
      <w:tr>
        <w:tc>
          <w:tcPr>
            <w:tcW w:type="dxa" w:w="2880"/>
          </w:tcPr>
          <w:p>
            <w:r/>
            <w:r>
              <w:rPr>
                <w:rFonts w:ascii="Arial" w:hAnsi="Arial" w:eastAsia="Arial"/>
                <w:b w:val="0"/>
                <w:i w:val="0"/>
                <w:color w:val="2A3140"/>
                <w:sz w:val="17"/>
              </w:rPr>
              <w:t>9.00% senior notes due 2031</w:t>
            </w:r>
          </w:p>
        </w:tc>
        <w:tc>
          <w:tcPr>
            <w:tcW w:type="dxa" w:w="1296"/>
          </w:tcPr>
          <w:p>
            <w:r/>
            <w:r>
              <w:rPr>
                <w:rFonts w:ascii="Arial" w:hAnsi="Arial" w:eastAsia="Arial"/>
                <w:b w:val="0"/>
                <w:i w:val="0"/>
                <w:color w:val="2A3140"/>
                <w:sz w:val="17"/>
              </w:rPr>
              <w:t>Senior unsecured</w:t>
            </w:r>
          </w:p>
        </w:tc>
        <w:tc>
          <w:tcPr>
            <w:tcW w:type="dxa" w:w="1296"/>
          </w:tcPr>
          <w:p>
            <w:r/>
            <w:r>
              <w:rPr>
                <w:rFonts w:ascii="Arial" w:hAnsi="Arial" w:eastAsia="Arial"/>
                <w:b w:val="0"/>
                <w:i w:val="0"/>
                <w:color w:val="2A3140"/>
                <w:sz w:val="17"/>
              </w:rPr>
              <w:t>8 Oct 2026</w:t>
            </w:r>
          </w:p>
        </w:tc>
        <w:tc>
          <w:tcPr>
            <w:tcW w:type="dxa" w:w="1296"/>
          </w:tcPr>
          <w:p>
            <w:pPr>
              <w:jc w:val="right"/>
            </w:pPr>
            <w:r/>
            <w:r>
              <w:rPr>
                <w:rFonts w:ascii="Arial" w:hAnsi="Arial" w:eastAsia="Arial"/>
                <w:b w:val="0"/>
                <w:i w:val="0"/>
                <w:color w:val="2A3140"/>
                <w:sz w:val="17"/>
              </w:rPr>
              <w:t>86.76</w:t>
            </w:r>
          </w:p>
        </w:tc>
        <w:tc>
          <w:tcPr>
            <w:tcW w:type="dxa" w:w="1296"/>
          </w:tcPr>
          <w:p>
            <w:pPr>
              <w:jc w:val="right"/>
            </w:pPr>
            <w:r/>
            <w:r>
              <w:rPr>
                <w:rFonts w:ascii="Arial" w:hAnsi="Arial" w:eastAsia="Arial"/>
                <w:b w:val="0"/>
                <w:i w:val="0"/>
                <w:color w:val="2A3140"/>
                <w:sz w:val="17"/>
              </w:rPr>
              <w:t>13.11%</w:t>
            </w:r>
          </w:p>
        </w:tc>
        <w:tc>
          <w:tcPr>
            <w:tcW w:type="dxa" w:w="1296"/>
          </w:tcPr>
          <w:p>
            <w:r/>
            <w:r>
              <w:rPr>
                <w:rFonts w:ascii="Arial" w:hAnsi="Arial" w:eastAsia="Arial"/>
                <w:b w:val="0"/>
                <w:i w:val="0"/>
                <w:color w:val="2A3140"/>
                <w:sz w:val="17"/>
              </w:rPr>
              <w:t>S12</w:t>
            </w:r>
          </w:p>
        </w:tc>
      </w:tr>
      <w:tr>
        <w:tc>
          <w:tcPr>
            <w:tcW w:type="dxa" w:w="2880"/>
          </w:tcPr>
          <w:p>
            <w:r/>
            <w:r>
              <w:rPr>
                <w:rFonts w:ascii="Arial" w:hAnsi="Arial" w:eastAsia="Arial"/>
                <w:b w:val="0"/>
                <w:i w:val="0"/>
                <w:color w:val="2A3140"/>
                <w:sz w:val="17"/>
              </w:rPr>
              <w:t>9.75% senior notes due 2031</w:t>
            </w:r>
          </w:p>
        </w:tc>
        <w:tc>
          <w:tcPr>
            <w:tcW w:type="dxa" w:w="1296"/>
          </w:tcPr>
          <w:p>
            <w:r/>
            <w:r>
              <w:rPr>
                <w:rFonts w:ascii="Arial" w:hAnsi="Arial" w:eastAsia="Arial"/>
                <w:b w:val="0"/>
                <w:i w:val="0"/>
                <w:color w:val="2A3140"/>
                <w:sz w:val="17"/>
              </w:rPr>
              <w:t>Senior unsecured</w:t>
            </w:r>
          </w:p>
        </w:tc>
        <w:tc>
          <w:tcPr>
            <w:tcW w:type="dxa" w:w="1296"/>
          </w:tcPr>
          <w:p>
            <w:r/>
            <w:r>
              <w:rPr>
                <w:rFonts w:ascii="Arial" w:hAnsi="Arial" w:eastAsia="Arial"/>
                <w:b w:val="0"/>
                <w:i w:val="0"/>
                <w:color w:val="2A3140"/>
                <w:sz w:val="17"/>
              </w:rPr>
              <w:t>8 Oct 2026</w:t>
            </w:r>
          </w:p>
        </w:tc>
        <w:tc>
          <w:tcPr>
            <w:tcW w:type="dxa" w:w="1296"/>
          </w:tcPr>
          <w:p>
            <w:pPr>
              <w:jc w:val="right"/>
            </w:pPr>
            <w:r/>
            <w:r>
              <w:rPr>
                <w:rFonts w:ascii="Arial" w:hAnsi="Arial" w:eastAsia="Arial"/>
                <w:b w:val="0"/>
                <w:i w:val="0"/>
                <w:color w:val="2A3140"/>
                <w:sz w:val="17"/>
              </w:rPr>
              <w:t>85.44</w:t>
            </w:r>
          </w:p>
        </w:tc>
        <w:tc>
          <w:tcPr>
            <w:tcW w:type="dxa" w:w="1296"/>
          </w:tcPr>
          <w:p>
            <w:pPr>
              <w:jc w:val="right"/>
            </w:pPr>
            <w:r/>
            <w:r>
              <w:rPr>
                <w:rFonts w:ascii="Arial" w:hAnsi="Arial" w:eastAsia="Arial"/>
                <w:b w:val="0"/>
                <w:i w:val="0"/>
                <w:color w:val="2A3140"/>
                <w:sz w:val="17"/>
              </w:rPr>
              <w:t>13.90%</w:t>
            </w:r>
          </w:p>
        </w:tc>
        <w:tc>
          <w:tcPr>
            <w:tcW w:type="dxa" w:w="1296"/>
          </w:tcPr>
          <w:p>
            <w:r/>
            <w:r>
              <w:rPr>
                <w:rFonts w:ascii="Arial" w:hAnsi="Arial" w:eastAsia="Arial"/>
                <w:b w:val="0"/>
                <w:i w:val="0"/>
                <w:color w:val="2A3140"/>
                <w:sz w:val="17"/>
              </w:rPr>
              <w:t>S12</w:t>
            </w:r>
          </w:p>
        </w:tc>
      </w:tr>
      <w:tr>
        <w:tc>
          <w:tcPr>
            <w:tcW w:type="dxa" w:w="2880"/>
          </w:tcPr>
          <w:p>
            <w:r/>
            <w:r>
              <w:rPr>
                <w:rFonts w:ascii="Arial" w:hAnsi="Arial" w:eastAsia="Arial"/>
                <w:b w:val="0"/>
                <w:i w:val="0"/>
                <w:color w:val="2A3140"/>
                <w:sz w:val="17"/>
              </w:rPr>
              <w:t>9.625% senior notes due 2032</w:t>
            </w:r>
          </w:p>
        </w:tc>
        <w:tc>
          <w:tcPr>
            <w:tcW w:type="dxa" w:w="1296"/>
          </w:tcPr>
          <w:p>
            <w:r/>
            <w:r>
              <w:rPr>
                <w:rFonts w:ascii="Arial" w:hAnsi="Arial" w:eastAsia="Arial"/>
                <w:b w:val="0"/>
                <w:i w:val="0"/>
                <w:color w:val="2A3140"/>
                <w:sz w:val="17"/>
              </w:rPr>
              <w:t>Senior unsecured</w:t>
            </w:r>
          </w:p>
        </w:tc>
        <w:tc>
          <w:tcPr>
            <w:tcW w:type="dxa" w:w="1296"/>
          </w:tcPr>
          <w:p>
            <w:r/>
            <w:r>
              <w:rPr>
                <w:rFonts w:ascii="Arial" w:hAnsi="Arial" w:eastAsia="Arial"/>
                <w:b w:val="0"/>
                <w:i w:val="0"/>
                <w:color w:val="2A3140"/>
                <w:sz w:val="17"/>
              </w:rPr>
              <w:t>8 Oct 2026</w:t>
            </w:r>
          </w:p>
        </w:tc>
        <w:tc>
          <w:tcPr>
            <w:tcW w:type="dxa" w:w="1296"/>
          </w:tcPr>
          <w:p>
            <w:pPr>
              <w:jc w:val="right"/>
            </w:pPr>
            <w:r/>
            <w:r>
              <w:rPr>
                <w:rFonts w:ascii="Arial" w:hAnsi="Arial" w:eastAsia="Arial"/>
                <w:b w:val="0"/>
                <w:i w:val="0"/>
                <w:color w:val="2A3140"/>
                <w:sz w:val="17"/>
              </w:rPr>
              <w:t>82.51</w:t>
            </w:r>
          </w:p>
        </w:tc>
        <w:tc>
          <w:tcPr>
            <w:tcW w:type="dxa" w:w="1296"/>
          </w:tcPr>
          <w:p>
            <w:pPr>
              <w:jc w:val="right"/>
            </w:pPr>
            <w:r/>
            <w:r>
              <w:rPr>
                <w:rFonts w:ascii="Arial" w:hAnsi="Arial" w:eastAsia="Arial"/>
                <w:b w:val="0"/>
                <w:i w:val="0"/>
                <w:color w:val="2A3140"/>
                <w:sz w:val="17"/>
              </w:rPr>
              <w:t>14.14%</w:t>
            </w:r>
          </w:p>
        </w:tc>
        <w:tc>
          <w:tcPr>
            <w:tcW w:type="dxa" w:w="1296"/>
          </w:tcPr>
          <w:p>
            <w:r/>
            <w:r>
              <w:rPr>
                <w:rFonts w:ascii="Arial" w:hAnsi="Arial" w:eastAsia="Arial"/>
                <w:b w:val="0"/>
                <w:i w:val="0"/>
                <w:color w:val="2A3140"/>
                <w:sz w:val="17"/>
              </w:rPr>
              <w:t>S12</w:t>
            </w:r>
          </w:p>
        </w:tc>
      </w:tr>
      <w:tr>
        <w:tc>
          <w:tcPr>
            <w:tcW w:type="dxa" w:w="2880"/>
          </w:tcPr>
          <w:p>
            <w:r/>
            <w:r>
              <w:rPr>
                <w:rFonts w:ascii="Arial" w:hAnsi="Arial" w:eastAsia="Arial"/>
                <w:b w:val="0"/>
                <w:i w:val="0"/>
                <w:color w:val="2A3140"/>
                <w:sz w:val="17"/>
              </w:rPr>
              <w:t>8.50% EUR senior notes due 2032</w:t>
            </w:r>
          </w:p>
        </w:tc>
        <w:tc>
          <w:tcPr>
            <w:tcW w:type="dxa" w:w="1296"/>
          </w:tcPr>
          <w:p>
            <w:r/>
            <w:r>
              <w:rPr>
                <w:rFonts w:ascii="Arial" w:hAnsi="Arial" w:eastAsia="Arial"/>
                <w:b w:val="0"/>
                <w:i w:val="0"/>
                <w:color w:val="2A3140"/>
                <w:sz w:val="17"/>
              </w:rPr>
              <w:t>Senior unsecured (EUR)</w:t>
            </w:r>
          </w:p>
        </w:tc>
        <w:tc>
          <w:tcPr>
            <w:tcW w:type="dxa" w:w="1296"/>
          </w:tcPr>
          <w:p>
            <w:r/>
            <w:r>
              <w:rPr>
                <w:rFonts w:ascii="Arial" w:hAnsi="Arial" w:eastAsia="Arial"/>
                <w:b w:val="0"/>
                <w:i w:val="0"/>
                <w:color w:val="2A3140"/>
                <w:sz w:val="17"/>
              </w:rPr>
              <w:t>8 Oct 2026</w:t>
            </w:r>
          </w:p>
        </w:tc>
        <w:tc>
          <w:tcPr>
            <w:tcW w:type="dxa" w:w="1296"/>
          </w:tcPr>
          <w:p>
            <w:pPr>
              <w:jc w:val="right"/>
            </w:pPr>
            <w:r/>
            <w:r>
              <w:rPr>
                <w:rFonts w:ascii="Arial" w:hAnsi="Arial" w:eastAsia="Arial"/>
                <w:b w:val="0"/>
                <w:i w:val="0"/>
                <w:color w:val="2A3140"/>
                <w:sz w:val="17"/>
              </w:rPr>
              <w:t>83.49</w:t>
            </w:r>
          </w:p>
        </w:tc>
        <w:tc>
          <w:tcPr>
            <w:tcW w:type="dxa" w:w="1296"/>
          </w:tcPr>
          <w:p>
            <w:pPr>
              <w:jc w:val="right"/>
            </w:pPr>
            <w:r/>
            <w:r>
              <w:rPr>
                <w:rFonts w:ascii="Arial" w:hAnsi="Arial" w:eastAsia="Arial"/>
                <w:b w:val="0"/>
                <w:i w:val="0"/>
                <w:color w:val="2A3140"/>
                <w:sz w:val="17"/>
              </w:rPr>
              <w:t>12.54%</w:t>
            </w:r>
          </w:p>
        </w:tc>
        <w:tc>
          <w:tcPr>
            <w:tcW w:type="dxa" w:w="1296"/>
          </w:tcPr>
          <w:p>
            <w:r/>
            <w:r>
              <w:rPr>
                <w:rFonts w:ascii="Arial" w:hAnsi="Arial" w:eastAsia="Arial"/>
                <w:b w:val="0"/>
                <w:i w:val="0"/>
                <w:color w:val="2A3140"/>
                <w:sz w:val="17"/>
              </w:rPr>
              <w:t>S12</w:t>
            </w:r>
          </w:p>
        </w:tc>
      </w:tr>
      <w:tr>
        <w:tc>
          <w:tcPr>
            <w:tcW w:type="dxa" w:w="2880"/>
          </w:tcPr>
          <w:p>
            <w:r/>
            <w:r>
              <w:rPr>
                <w:rFonts w:ascii="Arial" w:hAnsi="Arial" w:eastAsia="Arial"/>
                <w:b w:val="0"/>
                <w:i w:val="0"/>
                <w:color w:val="2A3140"/>
                <w:sz w:val="17"/>
              </w:rPr>
              <w:t>1.75% convertible notes due 2031</w:t>
            </w:r>
          </w:p>
        </w:tc>
        <w:tc>
          <w:tcPr>
            <w:tcW w:type="dxa" w:w="1296"/>
          </w:tcPr>
          <w:p>
            <w:r/>
            <w:r>
              <w:rPr>
                <w:rFonts w:ascii="Arial" w:hAnsi="Arial" w:eastAsia="Arial"/>
                <w:b w:val="0"/>
                <w:i w:val="0"/>
                <w:color w:val="2A3140"/>
                <w:sz w:val="17"/>
              </w:rPr>
              <w:t>Convertible</w:t>
            </w:r>
          </w:p>
        </w:tc>
        <w:tc>
          <w:tcPr>
            <w:tcW w:type="dxa" w:w="1296"/>
          </w:tcPr>
          <w:p>
            <w:r/>
            <w:r>
              <w:rPr>
                <w:rFonts w:ascii="Arial" w:hAnsi="Arial" w:eastAsia="Arial"/>
                <w:b w:val="0"/>
                <w:i w:val="0"/>
                <w:color w:val="2A3140"/>
                <w:sz w:val="17"/>
              </w:rPr>
              <w:t>8 Oct 2026</w:t>
            </w:r>
          </w:p>
        </w:tc>
        <w:tc>
          <w:tcPr>
            <w:tcW w:type="dxa" w:w="1296"/>
          </w:tcPr>
          <w:p>
            <w:pPr>
              <w:jc w:val="right"/>
            </w:pPr>
            <w:r/>
            <w:r>
              <w:rPr>
                <w:rFonts w:ascii="Arial" w:hAnsi="Arial" w:eastAsia="Arial"/>
                <w:b w:val="0"/>
                <w:i w:val="0"/>
                <w:color w:val="2A3140"/>
                <w:sz w:val="17"/>
              </w:rPr>
              <w:t>95.79</w:t>
            </w:r>
          </w:p>
        </w:tc>
        <w:tc>
          <w:tcPr>
            <w:tcW w:type="dxa" w:w="1296"/>
          </w:tcPr>
          <w:p>
            <w:pPr>
              <w:jc w:val="right"/>
            </w:pPr>
            <w:r/>
            <w:r>
              <w:rPr>
                <w:rFonts w:ascii="Arial" w:hAnsi="Arial" w:eastAsia="Arial"/>
                <w:b w:val="0"/>
                <w:i w:val="0"/>
                <w:color w:val="2A3140"/>
                <w:sz w:val="17"/>
              </w:rPr>
              <w:t>n/a</w:t>
            </w:r>
          </w:p>
        </w:tc>
        <w:tc>
          <w:tcPr>
            <w:tcW w:type="dxa" w:w="1296"/>
          </w:tcPr>
          <w:p>
            <w:r/>
            <w:r>
              <w:rPr>
                <w:rFonts w:ascii="Arial" w:hAnsi="Arial" w:eastAsia="Arial"/>
                <w:b w:val="0"/>
                <w:i w:val="0"/>
                <w:color w:val="2A3140"/>
                <w:sz w:val="17"/>
              </w:rPr>
              <w:t>S12</w:t>
            </w:r>
          </w:p>
        </w:tc>
      </w:tr>
      <w:tr>
        <w:tc>
          <w:tcPr>
            <w:tcW w:type="dxa" w:w="2880"/>
          </w:tcPr>
          <w:p>
            <w:r/>
            <w:r>
              <w:rPr>
                <w:rFonts w:ascii="Arial" w:hAnsi="Arial" w:eastAsia="Arial"/>
                <w:b w:val="0"/>
                <w:i w:val="0"/>
                <w:color w:val="2A3140"/>
                <w:sz w:val="17"/>
              </w:rPr>
              <w:t>1.75% convertible notes due 2032</w:t>
            </w:r>
          </w:p>
        </w:tc>
        <w:tc>
          <w:tcPr>
            <w:tcW w:type="dxa" w:w="1296"/>
          </w:tcPr>
          <w:p>
            <w:r/>
            <w:r>
              <w:rPr>
                <w:rFonts w:ascii="Arial" w:hAnsi="Arial" w:eastAsia="Arial"/>
                <w:b w:val="0"/>
                <w:i w:val="0"/>
                <w:color w:val="2A3140"/>
                <w:sz w:val="17"/>
              </w:rPr>
              <w:t>Convertible</w:t>
            </w:r>
          </w:p>
        </w:tc>
        <w:tc>
          <w:tcPr>
            <w:tcW w:type="dxa" w:w="1296"/>
          </w:tcPr>
          <w:p>
            <w:r/>
            <w:r>
              <w:rPr>
                <w:rFonts w:ascii="Arial" w:hAnsi="Arial" w:eastAsia="Arial"/>
                <w:b w:val="0"/>
                <w:i w:val="0"/>
                <w:color w:val="2A3140"/>
                <w:sz w:val="17"/>
              </w:rPr>
              <w:t>8 Oct 2026</w:t>
            </w:r>
          </w:p>
        </w:tc>
        <w:tc>
          <w:tcPr>
            <w:tcW w:type="dxa" w:w="1296"/>
          </w:tcPr>
          <w:p>
            <w:pPr>
              <w:jc w:val="right"/>
            </w:pPr>
            <w:r/>
            <w:r>
              <w:rPr>
                <w:rFonts w:ascii="Arial" w:hAnsi="Arial" w:eastAsia="Arial"/>
                <w:b w:val="0"/>
                <w:i w:val="0"/>
                <w:color w:val="2A3140"/>
                <w:sz w:val="17"/>
              </w:rPr>
              <w:t>87.04</w:t>
            </w:r>
          </w:p>
        </w:tc>
        <w:tc>
          <w:tcPr>
            <w:tcW w:type="dxa" w:w="1296"/>
          </w:tcPr>
          <w:p>
            <w:pPr>
              <w:jc w:val="right"/>
            </w:pPr>
            <w:r/>
            <w:r>
              <w:rPr>
                <w:rFonts w:ascii="Arial" w:hAnsi="Arial" w:eastAsia="Arial"/>
                <w:b w:val="0"/>
                <w:i w:val="0"/>
                <w:color w:val="2A3140"/>
                <w:sz w:val="17"/>
              </w:rPr>
              <w:t>n/a</w:t>
            </w:r>
          </w:p>
        </w:tc>
        <w:tc>
          <w:tcPr>
            <w:tcW w:type="dxa" w:w="1296"/>
          </w:tcPr>
          <w:p>
            <w:r/>
            <w:r>
              <w:rPr>
                <w:rFonts w:ascii="Arial" w:hAnsi="Arial" w:eastAsia="Arial"/>
                <w:b w:val="0"/>
                <w:i w:val="0"/>
                <w:color w:val="2A3140"/>
                <w:sz w:val="17"/>
              </w:rPr>
              <w:t>S12</w:t>
            </w:r>
          </w:p>
        </w:tc>
      </w:tr>
      <w:tr>
        <w:tc>
          <w:tcPr>
            <w:tcW w:type="dxa" w:w="2880"/>
          </w:tcPr>
          <w:p>
            <w:r/>
            <w:r>
              <w:rPr>
                <w:rFonts w:ascii="Arial" w:hAnsi="Arial" w:eastAsia="Arial"/>
                <w:b w:val="0"/>
                <w:i w:val="0"/>
                <w:color w:val="2A3140"/>
                <w:sz w:val="17"/>
              </w:rPr>
              <w:t>2.875% convertible notes due 2033</w:t>
            </w:r>
          </w:p>
        </w:tc>
        <w:tc>
          <w:tcPr>
            <w:tcW w:type="dxa" w:w="1296"/>
          </w:tcPr>
          <w:p>
            <w:r/>
            <w:r>
              <w:rPr>
                <w:rFonts w:ascii="Arial" w:hAnsi="Arial" w:eastAsia="Arial"/>
                <w:b w:val="0"/>
                <w:i w:val="0"/>
                <w:color w:val="2A3140"/>
                <w:sz w:val="17"/>
              </w:rPr>
              <w:t>Convertible</w:t>
            </w:r>
          </w:p>
        </w:tc>
        <w:tc>
          <w:tcPr>
            <w:tcW w:type="dxa" w:w="1296"/>
          </w:tcPr>
          <w:p>
            <w:r/>
            <w:r>
              <w:rPr>
                <w:rFonts w:ascii="Arial" w:hAnsi="Arial" w:eastAsia="Arial"/>
                <w:b w:val="0"/>
                <w:i w:val="0"/>
                <w:color w:val="2A3140"/>
                <w:sz w:val="17"/>
              </w:rPr>
              <w:t>8 Oct 2026</w:t>
            </w:r>
          </w:p>
        </w:tc>
        <w:tc>
          <w:tcPr>
            <w:tcW w:type="dxa" w:w="1296"/>
          </w:tcPr>
          <w:p>
            <w:pPr>
              <w:jc w:val="right"/>
            </w:pPr>
            <w:r/>
            <w:r>
              <w:rPr>
                <w:rFonts w:ascii="Arial" w:hAnsi="Arial" w:eastAsia="Arial"/>
                <w:b w:val="0"/>
                <w:i w:val="0"/>
                <w:color w:val="2A3140"/>
                <w:sz w:val="17"/>
              </w:rPr>
              <w:t>101.77</w:t>
            </w:r>
          </w:p>
        </w:tc>
        <w:tc>
          <w:tcPr>
            <w:tcW w:type="dxa" w:w="1296"/>
          </w:tcPr>
          <w:p>
            <w:pPr>
              <w:jc w:val="right"/>
            </w:pPr>
            <w:r/>
            <w:r>
              <w:rPr>
                <w:rFonts w:ascii="Arial" w:hAnsi="Arial" w:eastAsia="Arial"/>
                <w:b w:val="0"/>
                <w:i w:val="0"/>
                <w:color w:val="2A3140"/>
                <w:sz w:val="17"/>
              </w:rPr>
              <w:t>n/a</w:t>
            </w:r>
          </w:p>
        </w:tc>
        <w:tc>
          <w:tcPr>
            <w:tcW w:type="dxa" w:w="1296"/>
          </w:tcPr>
          <w:p>
            <w:r/>
            <w:r>
              <w:rPr>
                <w:rFonts w:ascii="Arial" w:hAnsi="Arial" w:eastAsia="Arial"/>
                <w:b w:val="0"/>
                <w:i w:val="0"/>
                <w:color w:val="2A3140"/>
                <w:sz w:val="17"/>
              </w:rPr>
              <w:t>S12</w:t>
            </w:r>
          </w:p>
        </w:tc>
      </w:tr>
    </w:tbl>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736"/>
        <w:gridCol w:w="2208"/>
        <w:gridCol w:w="2208"/>
        <w:gridCol w:w="2208"/>
      </w:tblGrid>
      <w:tr>
        <w:tc>
          <w:tcPr>
            <w:tcW w:type="dxa" w:w="2736"/>
            <w:shd w:val="clear" w:color="auto" w:fill="E4EAF3"/>
          </w:tcPr>
          <w:p>
            <w:r/>
            <w:r>
              <w:rPr>
                <w:rFonts w:ascii="Arial" w:hAnsi="Arial" w:eastAsia="Arial"/>
                <w:b/>
                <w:i w:val="0"/>
                <w:color w:val="121826"/>
                <w:sz w:val="17"/>
              </w:rPr>
              <w:t>Market anchor</w:t>
            </w:r>
          </w:p>
        </w:tc>
        <w:tc>
          <w:tcPr>
            <w:tcW w:type="dxa" w:w="2208"/>
            <w:shd w:val="clear" w:color="auto" w:fill="E4EAF3"/>
          </w:tcPr>
          <w:p>
            <w:r/>
            <w:r>
              <w:rPr>
                <w:rFonts w:ascii="Arial" w:hAnsi="Arial" w:eastAsia="Arial"/>
                <w:b/>
                <w:i w:val="0"/>
                <w:color w:val="121826"/>
                <w:sz w:val="17"/>
              </w:rPr>
              <w:t>Value</w:t>
            </w:r>
          </w:p>
        </w:tc>
        <w:tc>
          <w:tcPr>
            <w:tcW w:type="dxa" w:w="2208"/>
            <w:shd w:val="clear" w:color="auto" w:fill="E4EAF3"/>
          </w:tcPr>
          <w:p>
            <w:r/>
            <w:r>
              <w:rPr>
                <w:rFonts w:ascii="Arial" w:hAnsi="Arial" w:eastAsia="Arial"/>
                <w:b/>
                <w:i w:val="0"/>
                <w:color w:val="121826"/>
                <w:sz w:val="17"/>
              </w:rPr>
              <w:t>As of</w:t>
            </w:r>
          </w:p>
        </w:tc>
        <w:tc>
          <w:tcPr>
            <w:tcW w:type="dxa" w:w="2208"/>
            <w:shd w:val="clear" w:color="auto" w:fill="E4EAF3"/>
          </w:tcPr>
          <w:p>
            <w:r/>
            <w:r>
              <w:rPr>
                <w:rFonts w:ascii="Arial" w:hAnsi="Arial" w:eastAsia="Arial"/>
                <w:b/>
                <w:i w:val="0"/>
                <w:color w:val="121826"/>
                <w:sz w:val="17"/>
              </w:rPr>
              <w:t>Source; status</w:t>
            </w:r>
          </w:p>
        </w:tc>
      </w:tr>
      <w:tr>
        <w:tc>
          <w:tcPr>
            <w:tcW w:type="dxa" w:w="2736"/>
          </w:tcPr>
          <w:p>
            <w:r/>
            <w:r>
              <w:rPr>
                <w:rFonts w:ascii="Arial" w:hAnsi="Arial" w:eastAsia="Arial"/>
                <w:b w:val="0"/>
                <w:i w:val="0"/>
                <w:color w:val="2A3140"/>
                <w:sz w:val="17"/>
              </w:rPr>
              <w:t>B-rated BSL index, spread to maturity (STM)</w:t>
            </w:r>
          </w:p>
        </w:tc>
        <w:tc>
          <w:tcPr>
            <w:tcW w:type="dxa" w:w="2208"/>
          </w:tcPr>
          <w:p>
            <w:r/>
            <w:r>
              <w:rPr>
                <w:rFonts w:ascii="Arial" w:hAnsi="Arial" w:eastAsia="Arial"/>
                <w:b w:val="0"/>
                <w:i w:val="0"/>
                <w:color w:val="2A3140"/>
                <w:sz w:val="17"/>
              </w:rPr>
              <w:t>412 bp</w:t>
            </w:r>
          </w:p>
        </w:tc>
        <w:tc>
          <w:tcPr>
            <w:tcW w:type="dxa" w:w="2208"/>
          </w:tcPr>
          <w:p>
            <w:r/>
            <w:r>
              <w:rPr>
                <w:rFonts w:ascii="Arial" w:hAnsi="Arial" w:eastAsia="Arial"/>
                <w:b w:val="0"/>
                <w:i w:val="0"/>
                <w:color w:val="2A3140"/>
                <w:sz w:val="17"/>
              </w:rPr>
              <w:t>Sep 2026</w:t>
            </w:r>
          </w:p>
        </w:tc>
        <w:tc>
          <w:tcPr>
            <w:tcW w:type="dxa" w:w="2208"/>
          </w:tcPr>
          <w:p>
            <w:r/>
            <w:r>
              <w:rPr>
                <w:rFonts w:ascii="Arial" w:hAnsi="Arial" w:eastAsia="Arial"/>
                <w:b w:val="0"/>
                <w:i w:val="0"/>
                <w:color w:val="2A3140"/>
                <w:sz w:val="17"/>
              </w:rPr>
              <w:t>S15 (VRC Q3 2026); fetched</w:t>
            </w:r>
          </w:p>
        </w:tc>
      </w:tr>
      <w:tr>
        <w:tc>
          <w:tcPr>
            <w:tcW w:type="dxa" w:w="2736"/>
          </w:tcPr>
          <w:p>
            <w:r/>
            <w:r>
              <w:rPr>
                <w:rFonts w:ascii="Arial" w:hAnsi="Arial" w:eastAsia="Arial"/>
                <w:b w:val="0"/>
                <w:i w:val="0"/>
                <w:color w:val="2A3140"/>
                <w:sz w:val="17"/>
              </w:rPr>
              <w:t>Software / tech direct lending vs market</w:t>
            </w:r>
          </w:p>
        </w:tc>
        <w:tc>
          <w:tcPr>
            <w:tcW w:type="dxa" w:w="2208"/>
          </w:tcPr>
          <w:p>
            <w:r/>
            <w:r>
              <w:rPr>
                <w:rFonts w:ascii="Arial" w:hAnsi="Arial" w:eastAsia="Arial"/>
                <w:b w:val="0"/>
                <w:i w:val="0"/>
                <w:color w:val="2A3140"/>
                <w:sz w:val="17"/>
              </w:rPr>
              <w:t>50–100bp wide</w:t>
            </w:r>
          </w:p>
        </w:tc>
        <w:tc>
          <w:tcPr>
            <w:tcW w:type="dxa" w:w="2208"/>
          </w:tcPr>
          <w:p>
            <w:r/>
            <w:r>
              <w:rPr>
                <w:rFonts w:ascii="Arial" w:hAnsi="Arial" w:eastAsia="Arial"/>
                <w:b w:val="0"/>
                <w:i w:val="0"/>
                <w:color w:val="2A3140"/>
                <w:sz w:val="17"/>
              </w:rPr>
              <w:t>Q3 2026</w:t>
            </w:r>
          </w:p>
        </w:tc>
        <w:tc>
          <w:tcPr>
            <w:tcW w:type="dxa" w:w="2208"/>
          </w:tcPr>
          <w:p>
            <w:r/>
            <w:r>
              <w:rPr>
                <w:rFonts w:ascii="Arial" w:hAnsi="Arial" w:eastAsia="Arial"/>
                <w:b w:val="0"/>
                <w:i w:val="0"/>
                <w:color w:val="2A3140"/>
                <w:sz w:val="17"/>
              </w:rPr>
              <w:t>S15; fetched</w:t>
            </w:r>
          </w:p>
        </w:tc>
      </w:tr>
      <w:tr>
        <w:tc>
          <w:tcPr>
            <w:tcW w:type="dxa" w:w="2736"/>
          </w:tcPr>
          <w:p>
            <w:r/>
            <w:r>
              <w:rPr>
                <w:rFonts w:ascii="Arial" w:hAnsi="Arial" w:eastAsia="Arial"/>
                <w:b w:val="0"/>
                <w:i w:val="0"/>
                <w:color w:val="2A3140"/>
                <w:sz w:val="17"/>
              </w:rPr>
              <w:t>Private-over-public spread premium (unitranche vs BSL), July 2026</w:t>
            </w:r>
          </w:p>
        </w:tc>
        <w:tc>
          <w:tcPr>
            <w:tcW w:type="dxa" w:w="2208"/>
          </w:tcPr>
          <w:p>
            <w:r/>
            <w:r>
              <w:rPr>
                <w:rFonts w:ascii="Arial" w:hAnsi="Arial" w:eastAsia="Arial"/>
                <w:b w:val="0"/>
                <w:i w:val="0"/>
                <w:color w:val="2A3140"/>
                <w:sz w:val="17"/>
              </w:rPr>
              <w:t>178 bp</w:t>
            </w:r>
          </w:p>
        </w:tc>
        <w:tc>
          <w:tcPr>
            <w:tcW w:type="dxa" w:w="2208"/>
          </w:tcPr>
          <w:p>
            <w:r/>
            <w:r>
              <w:rPr>
                <w:rFonts w:ascii="Arial" w:hAnsi="Arial" w:eastAsia="Arial"/>
                <w:b w:val="0"/>
                <w:i w:val="0"/>
                <w:color w:val="2A3140"/>
                <w:sz w:val="17"/>
              </w:rPr>
              <w:t>Jul 2026</w:t>
            </w:r>
          </w:p>
        </w:tc>
        <w:tc>
          <w:tcPr>
            <w:tcW w:type="dxa" w:w="2208"/>
          </w:tcPr>
          <w:p>
            <w:r/>
            <w:r>
              <w:rPr>
                <w:rFonts w:ascii="Arial" w:hAnsi="Arial" w:eastAsia="Arial"/>
                <w:b w:val="0"/>
                <w:i w:val="0"/>
                <w:color w:val="2A3140"/>
                <w:sz w:val="17"/>
              </w:rPr>
              <w:t>S16 (Houlihan Lokey Summer 2026, KBRA DLD data); fetched PDF</w:t>
            </w:r>
          </w:p>
        </w:tc>
      </w:tr>
      <w:tr>
        <w:tc>
          <w:tcPr>
            <w:tcW w:type="dxa" w:w="2736"/>
          </w:tcPr>
          <w:p>
            <w:r/>
            <w:r>
              <w:rPr>
                <w:rFonts w:ascii="Arial" w:hAnsi="Arial" w:eastAsia="Arial"/>
                <w:b w:val="0"/>
                <w:i w:val="0"/>
                <w:color w:val="2A3140"/>
                <w:sz w:val="17"/>
              </w:rPr>
              <w:t>Private-over-public premium, 2025 average</w:t>
            </w:r>
          </w:p>
        </w:tc>
        <w:tc>
          <w:tcPr>
            <w:tcW w:type="dxa" w:w="2208"/>
          </w:tcPr>
          <w:p>
            <w:r/>
            <w:r>
              <w:rPr>
                <w:rFonts w:ascii="Arial" w:hAnsi="Arial" w:eastAsia="Arial"/>
                <w:b w:val="0"/>
                <w:i w:val="0"/>
                <w:color w:val="2A3140"/>
                <w:sz w:val="17"/>
              </w:rPr>
              <w:t>166 bp</w:t>
            </w:r>
          </w:p>
        </w:tc>
        <w:tc>
          <w:tcPr>
            <w:tcW w:type="dxa" w:w="2208"/>
          </w:tcPr>
          <w:p>
            <w:pPr>
              <w:jc w:val="right"/>
            </w:pPr>
            <w:r/>
            <w:r>
              <w:rPr>
                <w:rFonts w:ascii="Arial" w:hAnsi="Arial" w:eastAsia="Arial"/>
                <w:b w:val="0"/>
                <w:i w:val="0"/>
                <w:color w:val="2A3140"/>
                <w:sz w:val="17"/>
              </w:rPr>
              <w:t>2025</w:t>
            </w:r>
          </w:p>
        </w:tc>
        <w:tc>
          <w:tcPr>
            <w:tcW w:type="dxa" w:w="2208"/>
          </w:tcPr>
          <w:p>
            <w:r/>
            <w:r>
              <w:rPr>
                <w:rFonts w:ascii="Arial" w:hAnsi="Arial" w:eastAsia="Arial"/>
                <w:b w:val="0"/>
                <w:i w:val="0"/>
                <w:color w:val="2A3140"/>
                <w:sz w:val="17"/>
              </w:rPr>
              <w:t>S16; fetched PDF</w:t>
            </w:r>
          </w:p>
        </w:tc>
      </w:tr>
      <w:tr>
        <w:tc>
          <w:tcPr>
            <w:tcW w:type="dxa" w:w="2736"/>
          </w:tcPr>
          <w:p>
            <w:r/>
            <w:r>
              <w:rPr>
                <w:rFonts w:ascii="Arial" w:hAnsi="Arial" w:eastAsia="Arial"/>
                <w:b w:val="0"/>
                <w:i w:val="0"/>
                <w:color w:val="2A3140"/>
                <w:sz w:val="17"/>
              </w:rPr>
              <w:t>Unitranche spread, July 2026</w:t>
            </w:r>
          </w:p>
        </w:tc>
        <w:tc>
          <w:tcPr>
            <w:tcW w:type="dxa" w:w="2208"/>
          </w:tcPr>
          <w:p>
            <w:r/>
            <w:r>
              <w:rPr>
                <w:rFonts w:ascii="Arial" w:hAnsi="Arial" w:eastAsia="Arial"/>
                <w:b w:val="0"/>
                <w:i w:val="0"/>
                <w:color w:val="2A3140"/>
                <w:sz w:val="17"/>
              </w:rPr>
              <w:t>522 bp</w:t>
            </w:r>
          </w:p>
        </w:tc>
        <w:tc>
          <w:tcPr>
            <w:tcW w:type="dxa" w:w="2208"/>
          </w:tcPr>
          <w:p>
            <w:r/>
            <w:r>
              <w:rPr>
                <w:rFonts w:ascii="Arial" w:hAnsi="Arial" w:eastAsia="Arial"/>
                <w:b w:val="0"/>
                <w:i w:val="0"/>
                <w:color w:val="2A3140"/>
                <w:sz w:val="17"/>
              </w:rPr>
              <w:t>Jul 2026</w:t>
            </w:r>
          </w:p>
        </w:tc>
        <w:tc>
          <w:tcPr>
            <w:tcW w:type="dxa" w:w="2208"/>
          </w:tcPr>
          <w:p>
            <w:r/>
            <w:r>
              <w:rPr>
                <w:rFonts w:ascii="Arial" w:hAnsi="Arial" w:eastAsia="Arial"/>
                <w:b w:val="0"/>
                <w:i w:val="0"/>
                <w:color w:val="2A3140"/>
                <w:sz w:val="17"/>
              </w:rPr>
              <w:t>S16; fetched PDF</w:t>
            </w:r>
          </w:p>
        </w:tc>
      </w:tr>
    </w:tbl>
    <w:p/>
    <w:p>
      <w:r>
        <w:rPr>
          <w:rFonts w:ascii="Arial" w:hAnsi="Arial" w:eastAsia="Arial"/>
          <w:b w:val="0"/>
          <w:i/>
          <w:color w:val="2A3140"/>
          <w:sz w:val="21"/>
        </w:rPr>
        <w:t>Base rates: 1M CME Term SOFR 3.92490% and 3M 4.03887% (9 Oct 2026, CME, read via a secondary display) [S8]; SOFR 3.87% (8 Oct 2026) [S9]; US Treasury par yields on 8 Oct 2026: 3-year 4.85%, 5-year 4.99% [S11]. Ratings: parent Ba3 stable (Moody's), B+ positive (S&amp;P), BB- positive (Fitch) [S14].</w:t>
      </w:r>
    </w:p>
    <w:p>
      <w:pPr>
        <w:spacing w:before="240"/>
      </w:pPr>
      <w:r>
        <w:rPr>
          <w:rFonts w:ascii="Georgia" w:hAnsi="Georgia" w:eastAsia="Georgia"/>
          <w:b/>
          <w:i w:val="0"/>
          <w:color w:val="1E3A5F"/>
          <w:sz w:val="26"/>
        </w:rPr>
        <w:t>7. Term sheet (abstracted from the Credit Agreement)</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736"/>
        <w:gridCol w:w="6624"/>
      </w:tblGrid>
      <w:tr>
        <w:tc>
          <w:tcPr>
            <w:tcW w:type="dxa" w:w="2736"/>
            <w:shd w:val="clear" w:color="auto" w:fill="E4EAF3"/>
          </w:tcPr>
          <w:p>
            <w:r/>
            <w:r>
              <w:rPr>
                <w:rFonts w:ascii="Arial" w:hAnsi="Arial" w:eastAsia="Arial"/>
                <w:b/>
                <w:i w:val="0"/>
                <w:color w:val="121826"/>
                <w:sz w:val="17"/>
              </w:rPr>
              <w:t>Term</w:t>
            </w:r>
          </w:p>
        </w:tc>
        <w:tc>
          <w:tcPr>
            <w:tcW w:type="dxa" w:w="6624"/>
            <w:shd w:val="clear" w:color="auto" w:fill="E4EAF3"/>
          </w:tcPr>
          <w:p>
            <w:r/>
            <w:r>
              <w:rPr>
                <w:rFonts w:ascii="Arial" w:hAnsi="Arial" w:eastAsia="Arial"/>
                <w:b/>
                <w:i w:val="0"/>
                <w:color w:val="121826"/>
                <w:sz w:val="17"/>
              </w:rPr>
              <w:t>Detail</w:t>
            </w:r>
          </w:p>
        </w:tc>
      </w:tr>
      <w:tr>
        <w:tc>
          <w:tcPr>
            <w:tcW w:type="dxa" w:w="2736"/>
          </w:tcPr>
          <w:p>
            <w:r/>
            <w:r>
              <w:rPr>
                <w:rFonts w:ascii="Arial" w:hAnsi="Arial" w:eastAsia="Arial"/>
                <w:b w:val="0"/>
                <w:i w:val="0"/>
                <w:color w:val="2A3140"/>
                <w:sz w:val="17"/>
              </w:rPr>
              <w:t>Borrower and guarantors</w:t>
            </w:r>
          </w:p>
        </w:tc>
        <w:tc>
          <w:tcPr>
            <w:tcW w:type="dxa" w:w="6624"/>
          </w:tcPr>
          <w:p>
            <w:r/>
            <w:r>
              <w:rPr>
                <w:rFonts w:ascii="Arial" w:hAnsi="Arial" w:eastAsia="Arial"/>
                <w:b w:val="0"/>
                <w:i w:val="0"/>
                <w:color w:val="2A3140"/>
                <w:sz w:val="17"/>
              </w:rPr>
              <w:t>CoreWeave Financing DDTL V-V, LLC. Unconditional guarantee of payment and performance from CoreWeave, Inc., limited only by fraudulent-conveyance law; pledge of the borrower's equity by CW Financing DDTL V-V Holdco, LLC</w:t>
            </w:r>
          </w:p>
        </w:tc>
      </w:tr>
      <w:tr>
        <w:tc>
          <w:tcPr>
            <w:tcW w:type="dxa" w:w="2736"/>
          </w:tcPr>
          <w:p>
            <w:r/>
            <w:r>
              <w:rPr>
                <w:rFonts w:ascii="Arial" w:hAnsi="Arial" w:eastAsia="Arial"/>
                <w:b w:val="0"/>
                <w:i w:val="0"/>
                <w:color w:val="2A3140"/>
                <w:sz w:val="17"/>
              </w:rPr>
              <w:t>Facility type and amount</w:t>
            </w:r>
          </w:p>
        </w:tc>
        <w:tc>
          <w:tcPr>
            <w:tcW w:type="dxa" w:w="6624"/>
          </w:tcPr>
          <w:p>
            <w:r/>
            <w:r>
              <w:rPr>
                <w:rFonts w:ascii="Arial" w:hAnsi="Arial" w:eastAsia="Arial"/>
                <w:b w:val="0"/>
                <w:i w:val="0"/>
                <w:color w:val="2A3140"/>
                <w:sz w:val="17"/>
              </w:rPr>
              <w:t>$2.6bn senior secured delayed-draw term loan; one or more draws until the earlier of full utilization and 31 Dec 2026</w:t>
            </w:r>
          </w:p>
        </w:tc>
      </w:tr>
      <w:tr>
        <w:tc>
          <w:tcPr>
            <w:tcW w:type="dxa" w:w="2736"/>
          </w:tcPr>
          <w:p>
            <w:r/>
            <w:r>
              <w:rPr>
                <w:rFonts w:ascii="Arial" w:hAnsi="Arial" w:eastAsia="Arial"/>
                <w:b w:val="0"/>
                <w:i w:val="0"/>
                <w:color w:val="2A3140"/>
                <w:sz w:val="17"/>
              </w:rPr>
              <w:t>Ranking and security</w:t>
            </w:r>
          </w:p>
        </w:tc>
        <w:tc>
          <w:tcPr>
            <w:tcW w:type="dxa" w:w="6624"/>
          </w:tcPr>
          <w:p>
            <w:r/>
            <w:r>
              <w:rPr>
                <w:rFonts w:ascii="Arial" w:hAnsi="Arial" w:eastAsia="Arial"/>
                <w:b w:val="0"/>
                <w:i w:val="0"/>
                <w:color w:val="2A3140"/>
                <w:sz w:val="17"/>
              </w:rPr>
              <w:t>First-priority lien on substantially all SPV assets: GPU infrastructure, MSAs, data center leases and licences, collateral accounts held with U.S. Bank, and pledged equity. Secured swaps share the collateral under an intercreditor agreement</w:t>
            </w:r>
          </w:p>
        </w:tc>
      </w:tr>
      <w:tr>
        <w:tc>
          <w:tcPr>
            <w:tcW w:type="dxa" w:w="2736"/>
          </w:tcPr>
          <w:p>
            <w:r/>
            <w:r>
              <w:rPr>
                <w:rFonts w:ascii="Arial" w:hAnsi="Arial" w:eastAsia="Arial"/>
                <w:b w:val="0"/>
                <w:i w:val="0"/>
                <w:color w:val="2A3140"/>
                <w:sz w:val="17"/>
              </w:rPr>
              <w:t>Tenor and maturity</w:t>
            </w:r>
          </w:p>
        </w:tc>
        <w:tc>
          <w:tcPr>
            <w:tcW w:type="dxa" w:w="6624"/>
          </w:tcPr>
          <w:p>
            <w:r/>
            <w:r>
              <w:rPr>
                <w:rFonts w:ascii="Arial" w:hAnsi="Arial" w:eastAsia="Arial"/>
                <w:b w:val="0"/>
                <w:i w:val="0"/>
                <w:color w:val="2A3140"/>
                <w:sz w:val="17"/>
              </w:rPr>
              <w:t>Matures 1 Sep 2031, about five years; underlying contracts average about three years. No springing maturity. Events of Default include a Guarantor Trigger Event: parent bankruptcy, change of control, judgments, or a material-indebtedness default</w:t>
            </w:r>
          </w:p>
        </w:tc>
      </w:tr>
      <w:tr>
        <w:tc>
          <w:tcPr>
            <w:tcW w:type="dxa" w:w="2736"/>
          </w:tcPr>
          <w:p>
            <w:r/>
            <w:r>
              <w:rPr>
                <w:rFonts w:ascii="Arial" w:hAnsi="Arial" w:eastAsia="Arial"/>
                <w:b w:val="0"/>
                <w:i w:val="0"/>
                <w:color w:val="2A3140"/>
                <w:sz w:val="17"/>
              </w:rPr>
              <w:t>Pricing</w:t>
            </w:r>
          </w:p>
        </w:tc>
        <w:tc>
          <w:tcPr>
            <w:tcW w:type="dxa" w:w="6624"/>
          </w:tcPr>
          <w:p>
            <w:r/>
            <w:r>
              <w:rPr>
                <w:rFonts w:ascii="Arial" w:hAnsi="Arial" w:eastAsia="Arial"/>
                <w:b w:val="0"/>
                <w:i w:val="0"/>
                <w:color w:val="2A3140"/>
                <w:sz w:val="17"/>
              </w:rPr>
              <w:t>Term SOFR + 5.50% (Base Rate + 4.50%); 0.00% floor; default rate + 2.00%; 0.50% undrawn fee on unused commitments, act/360, monthly. Fee letters and OID: n/d. Base rate reference: 1M CME Term SOFR 3.92490% on 9 Oct 2026</w:t>
            </w:r>
          </w:p>
        </w:tc>
      </w:tr>
      <w:tr>
        <w:tc>
          <w:tcPr>
            <w:tcW w:type="dxa" w:w="2736"/>
          </w:tcPr>
          <w:p>
            <w:r/>
            <w:r>
              <w:rPr>
                <w:rFonts w:ascii="Arial" w:hAnsi="Arial" w:eastAsia="Arial"/>
                <w:b w:val="0"/>
                <w:i w:val="0"/>
                <w:color w:val="2A3140"/>
                <w:sz w:val="17"/>
              </w:rPr>
              <w:t>Call protection</w:t>
            </w:r>
          </w:p>
        </w:tc>
        <w:tc>
          <w:tcPr>
            <w:tcW w:type="dxa" w:w="6624"/>
          </w:tcPr>
          <w:p>
            <w:r/>
            <w:r>
              <w:rPr>
                <w:rFonts w:ascii="Arial" w:hAnsi="Arial" w:eastAsia="Arial"/>
                <w:b w:val="0"/>
                <w:i w:val="0"/>
                <w:color w:val="2A3140"/>
                <w:sz w:val="17"/>
              </w:rPr>
              <w:t>Applicable Premium before the third anniversary of the Signing Date on optional prepayments, non-permitted-debt prepayments and acceleration: make-whole (Treasury + 0.50% discount rate) in year 1, 2.00% in year 2, 1.00% in year 3. The first $260M of optional prepayments in aggregate are free. Sweep, Cash Sweep Event, MSA resizing and casualty prepayments carry no premium</w:t>
            </w:r>
          </w:p>
        </w:tc>
      </w:tr>
      <w:tr>
        <w:tc>
          <w:tcPr>
            <w:tcW w:type="dxa" w:w="2736"/>
          </w:tcPr>
          <w:p>
            <w:r/>
            <w:r>
              <w:rPr>
                <w:rFonts w:ascii="Arial" w:hAnsi="Arial" w:eastAsia="Arial"/>
                <w:b w:val="0"/>
                <w:i w:val="0"/>
                <w:color w:val="2A3140"/>
                <w:sz w:val="17"/>
              </w:rPr>
              <w:t>Amortization</w:t>
            </w:r>
          </w:p>
        </w:tc>
        <w:tc>
          <w:tcPr>
            <w:tcW w:type="dxa" w:w="6624"/>
          </w:tcPr>
          <w:p>
            <w:r/>
            <w:r>
              <w:rPr>
                <w:rFonts w:ascii="Arial" w:hAnsi="Arial" w:eastAsia="Arial"/>
                <w:b w:val="0"/>
                <w:i w:val="0"/>
                <w:color w:val="2A3140"/>
                <w:sz w:val="17"/>
              </w:rPr>
              <w:t>Monthly, from the first Monthly Payment Date after the Commitment Termination Date, at Schedule 2.08 percentages of the Adjusted Loan Amount (schedule not filed; n/d). Balance due at maturity</w:t>
            </w:r>
          </w:p>
        </w:tc>
      </w:tr>
      <w:tr>
        <w:tc>
          <w:tcPr>
            <w:tcW w:type="dxa" w:w="2736"/>
          </w:tcPr>
          <w:p>
            <w:r/>
            <w:r>
              <w:rPr>
                <w:rFonts w:ascii="Arial" w:hAnsi="Arial" w:eastAsia="Arial"/>
                <w:b w:val="0"/>
                <w:i w:val="0"/>
                <w:color w:val="2A3140"/>
                <w:sz w:val="17"/>
              </w:rPr>
              <w:t>Financial covenant: DSCR</w:t>
            </w:r>
          </w:p>
        </w:tc>
        <w:tc>
          <w:tcPr>
            <w:tcW w:type="dxa" w:w="6624"/>
          </w:tcPr>
          <w:p>
            <w:r/>
            <w:r>
              <w:rPr>
                <w:rFonts w:ascii="Arial" w:hAnsi="Arial" w:eastAsia="Arial"/>
                <w:b w:val="0"/>
                <w:i w:val="0"/>
                <w:color w:val="2A3140"/>
                <w:sz w:val="17"/>
              </w:rPr>
              <w:t>Net Operating Income ÷ Debt Service over the trailing three full months, at least 1.35x, tested monthly from the first full month after the Commitment Termination Date. NOI excludes parent deposits unless they are Cure Equity. Debt Service = interest + Schedule 2.08 principal (excluding the Initial Amortization Payment) + net swap payments; it excludes prepayments and the bullet at maturity</w:t>
            </w:r>
          </w:p>
        </w:tc>
      </w:tr>
      <w:tr>
        <w:tc>
          <w:tcPr>
            <w:tcW w:type="dxa" w:w="2736"/>
          </w:tcPr>
          <w:p>
            <w:r/>
            <w:r>
              <w:rPr>
                <w:rFonts w:ascii="Arial" w:hAnsi="Arial" w:eastAsia="Arial"/>
                <w:b w:val="0"/>
                <w:i w:val="0"/>
                <w:color w:val="2A3140"/>
                <w:sz w:val="17"/>
              </w:rPr>
              <w:t>Financial covenant: Liquidity Requirement</w:t>
            </w:r>
          </w:p>
        </w:tc>
        <w:tc>
          <w:tcPr>
            <w:tcW w:type="dxa" w:w="6624"/>
          </w:tcPr>
          <w:p>
            <w:r/>
            <w:r>
              <w:rPr>
                <w:rFonts w:ascii="Arial" w:hAnsi="Arial" w:eastAsia="Arial"/>
                <w:b w:val="0"/>
                <w:i w:val="0"/>
                <w:color w:val="2A3140"/>
                <w:sz w:val="17"/>
              </w:rPr>
              <w:t>$112.5M to six months after closing; then the greater of 10% of Loans and $112.5M; in the final 12 months, projected scheduled principal and interest. Cash or letter of credit</w:t>
            </w:r>
          </w:p>
        </w:tc>
      </w:tr>
      <w:tr>
        <w:tc>
          <w:tcPr>
            <w:tcW w:type="dxa" w:w="2736"/>
          </w:tcPr>
          <w:p>
            <w:r/>
            <w:r>
              <w:rPr>
                <w:rFonts w:ascii="Arial" w:hAnsi="Arial" w:eastAsia="Arial"/>
                <w:b w:val="0"/>
                <w:i w:val="0"/>
                <w:color w:val="2A3140"/>
                <w:sz w:val="17"/>
              </w:rPr>
              <w:t>Step-downs</w:t>
            </w:r>
          </w:p>
        </w:tc>
        <w:tc>
          <w:tcPr>
            <w:tcW w:type="dxa" w:w="6624"/>
          </w:tcPr>
          <w:p>
            <w:r/>
            <w:r>
              <w:rPr>
                <w:rFonts w:ascii="Arial" w:hAnsi="Arial" w:eastAsia="Arial"/>
                <w:b w:val="0"/>
                <w:i w:val="0"/>
                <w:color w:val="2A3140"/>
                <w:sz w:val="17"/>
              </w:rPr>
              <w:t>None</w:t>
            </w:r>
          </w:p>
        </w:tc>
      </w:tr>
      <w:tr>
        <w:tc>
          <w:tcPr>
            <w:tcW w:type="dxa" w:w="2736"/>
          </w:tcPr>
          <w:p>
            <w:r/>
            <w:r>
              <w:rPr>
                <w:rFonts w:ascii="Arial" w:hAnsi="Arial" w:eastAsia="Arial"/>
                <w:b w:val="0"/>
                <w:i w:val="0"/>
                <w:color w:val="2A3140"/>
                <w:sz w:val="17"/>
              </w:rPr>
              <w:t>Equity cure</w:t>
            </w:r>
          </w:p>
        </w:tc>
        <w:tc>
          <w:tcPr>
            <w:tcW w:type="dxa" w:w="6624"/>
          </w:tcPr>
          <w:p>
            <w:r/>
            <w:r>
              <w:rPr>
                <w:rFonts w:ascii="Arial" w:hAnsi="Arial" w:eastAsia="Arial"/>
                <w:b w:val="0"/>
                <w:i w:val="0"/>
                <w:color w:val="2A3140"/>
                <w:sz w:val="17"/>
              </w:rPr>
              <w:t>DSCR breaches and cash shortfalls may be cured with parent equity, applied as deemed NOI or as prepayment. Unlimited until three months after the Commitment Termination Date; then no more than three fiscal months in any four consecutive months</w:t>
            </w:r>
          </w:p>
        </w:tc>
      </w:tr>
      <w:tr>
        <w:tc>
          <w:tcPr>
            <w:tcW w:type="dxa" w:w="2736"/>
          </w:tcPr>
          <w:p>
            <w:r/>
            <w:r>
              <w:rPr>
                <w:rFonts w:ascii="Arial" w:hAnsi="Arial" w:eastAsia="Arial"/>
                <w:b w:val="0"/>
                <w:i w:val="0"/>
                <w:color w:val="2A3140"/>
                <w:sz w:val="17"/>
              </w:rPr>
              <w:t>Key negative covenants</w:t>
            </w:r>
          </w:p>
        </w:tc>
        <w:tc>
          <w:tcPr>
            <w:tcW w:type="dxa" w:w="6624"/>
          </w:tcPr>
          <w:p>
            <w:r/>
            <w:r>
              <w:rPr>
                <w:rFonts w:ascii="Arial" w:hAnsi="Arial" w:eastAsia="Arial"/>
                <w:b w:val="0"/>
                <w:i w:val="0"/>
                <w:color w:val="2A3140"/>
                <w:sz w:val="17"/>
              </w:rPr>
              <w:t>Limited-purpose SPV: Indebtedness, liens, investments and affiliate transactions restricted (Article VI); 100% of proceeds of non-permitted debt prepay the Loans. Restricted payments only from the Distribution Reserve Account when the Distribution Conditions are met. No leverage-based test (gross or net): n/a</w:t>
            </w:r>
          </w:p>
        </w:tc>
      </w:tr>
      <w:tr>
        <w:tc>
          <w:tcPr>
            <w:tcW w:type="dxa" w:w="2736"/>
          </w:tcPr>
          <w:p>
            <w:r/>
            <w:r>
              <w:rPr>
                <w:rFonts w:ascii="Arial" w:hAnsi="Arial" w:eastAsia="Arial"/>
                <w:b w:val="0"/>
                <w:i w:val="0"/>
                <w:color w:val="2A3140"/>
                <w:sz w:val="17"/>
              </w:rPr>
              <w:t>Distribution Conditions</w:t>
            </w:r>
          </w:p>
        </w:tc>
        <w:tc>
          <w:tcPr>
            <w:tcW w:type="dxa" w:w="6624"/>
          </w:tcPr>
          <w:p>
            <w:r/>
            <w:r>
              <w:rPr>
                <w:rFonts w:ascii="Arial" w:hAnsi="Arial" w:eastAsia="Arial"/>
                <w:b w:val="0"/>
                <w:i w:val="0"/>
                <w:color w:val="2A3140"/>
                <w:sz w:val="17"/>
              </w:rPr>
              <w:t>No Default; no Cash Shortfall Event; Schedule 2.08 payments made; Liquidity Requirement met; Loans at or below the Minimum DDTL Amount of $1.3bn</w:t>
            </w:r>
          </w:p>
        </w:tc>
      </w:tr>
      <w:tr>
        <w:tc>
          <w:tcPr>
            <w:tcW w:type="dxa" w:w="2736"/>
          </w:tcPr>
          <w:p>
            <w:r/>
            <w:r>
              <w:rPr>
                <w:rFonts w:ascii="Arial" w:hAnsi="Arial" w:eastAsia="Arial"/>
                <w:b w:val="0"/>
                <w:i w:val="0"/>
                <w:color w:val="2A3140"/>
                <w:sz w:val="17"/>
              </w:rPr>
              <w:t>Mandatory prepayments</w:t>
            </w:r>
          </w:p>
        </w:tc>
        <w:tc>
          <w:tcPr>
            <w:tcW w:type="dxa" w:w="6624"/>
          </w:tcPr>
          <w:p>
            <w:r/>
            <w:r>
              <w:rPr>
                <w:rFonts w:ascii="Arial" w:hAnsi="Arial" w:eastAsia="Arial"/>
                <w:b w:val="0"/>
                <w:i w:val="0"/>
                <w:color w:val="2A3140"/>
                <w:sz w:val="17"/>
              </w:rPr>
              <w:t>(1) After the Commitment Termination Date, 100% of cash after waterfall step (vii) until Loans are at or below $1.3bn. (2) Cash Trap Event (material MSA breach, or PCVR below 2.40x) for three consecutive Monthly Payment Dates: 100% sweep until PCVR exceeds 2.40x. (3) Maturing MSAs not renewed or replaced by the Renewal Deadline [*] so that Projected DSCR stays at least 1.35x each month and PCVR at least 2.40x: prepay to restore both. (4) Non-permitted debt; casualty and asset sale proceeds</w:t>
            </w:r>
          </w:p>
        </w:tc>
      </w:tr>
      <w:tr>
        <w:tc>
          <w:tcPr>
            <w:tcW w:type="dxa" w:w="2736"/>
          </w:tcPr>
          <w:p>
            <w:r/>
            <w:r>
              <w:rPr>
                <w:rFonts w:ascii="Arial" w:hAnsi="Arial" w:eastAsia="Arial"/>
                <w:b w:val="0"/>
                <w:i w:val="0"/>
                <w:color w:val="2A3140"/>
                <w:sz w:val="17"/>
              </w:rPr>
              <w:t>Interest rate protection</w:t>
            </w:r>
          </w:p>
        </w:tc>
        <w:tc>
          <w:tcPr>
            <w:tcW w:type="dxa" w:w="6624"/>
          </w:tcPr>
          <w:p>
            <w:r/>
            <w:r>
              <w:rPr>
                <w:rFonts w:ascii="Arial" w:hAnsi="Arial" w:eastAsia="Arial"/>
                <w:b w:val="0"/>
                <w:i w:val="0"/>
                <w:color w:val="2A3140"/>
                <w:sz w:val="17"/>
              </w:rPr>
              <w:t>Hedges on at least 95% of projected Loans within 45 days after the Commitment Termination Date</w:t>
            </w:r>
          </w:p>
        </w:tc>
      </w:tr>
      <w:tr>
        <w:tc>
          <w:tcPr>
            <w:tcW w:type="dxa" w:w="2736"/>
          </w:tcPr>
          <w:p>
            <w:r/>
            <w:r>
              <w:rPr>
                <w:rFonts w:ascii="Arial" w:hAnsi="Arial" w:eastAsia="Arial"/>
                <w:b w:val="0"/>
                <w:i w:val="0"/>
                <w:color w:val="2A3140"/>
                <w:sz w:val="17"/>
              </w:rPr>
              <w:t>Reporting</w:t>
            </w:r>
          </w:p>
        </w:tc>
        <w:tc>
          <w:tcPr>
            <w:tcW w:type="dxa" w:w="6624"/>
          </w:tcPr>
          <w:p>
            <w:r/>
            <w:r>
              <w:rPr>
                <w:rFonts w:ascii="Arial" w:hAnsi="Arial" w:eastAsia="Arial"/>
                <w:b w:val="0"/>
                <w:i w:val="0"/>
                <w:color w:val="2A3140"/>
                <w:sz w:val="17"/>
              </w:rPr>
              <w:t>Annual audited (120 days) and quarterly (60 days) financial statements of the parent and the borrower; operating, construction and installation reports; compliance certificates updating projected contracted revenues with each new MSA</w:t>
            </w:r>
          </w:p>
        </w:tc>
      </w:tr>
      <w:tr>
        <w:tc>
          <w:tcPr>
            <w:tcW w:type="dxa" w:w="2736"/>
          </w:tcPr>
          <w:p>
            <w:r/>
            <w:r>
              <w:rPr>
                <w:rFonts w:ascii="Arial" w:hAnsi="Arial" w:eastAsia="Arial"/>
                <w:b w:val="0"/>
                <w:i w:val="0"/>
                <w:color w:val="2A3140"/>
                <w:sz w:val="17"/>
              </w:rPr>
              <w:t>Asset-class specifics</w:t>
            </w:r>
          </w:p>
        </w:tc>
        <w:tc>
          <w:tcPr>
            <w:tcW w:type="dxa" w:w="6624"/>
          </w:tcPr>
          <w:p>
            <w:r/>
            <w:r>
              <w:rPr>
                <w:rFonts w:ascii="Arial" w:hAnsi="Arial" w:eastAsia="Arial"/>
                <w:b w:val="0"/>
                <w:i w:val="0"/>
                <w:color w:val="2A3140"/>
                <w:sz w:val="17"/>
              </w:rPr>
              <w:t>Advance rate: Loans ≤ 70% of Funding Date Capital Expenditures at each draw (ancillary hardware and installation included up to caps [*]; uncontracted capacity excluded). Eligibility: Qualified Customer and the MSA criteria in Section 6. Reserves: Liquidity Requirement; 60-day operating cost look-forward. Dominion: all revenue to collateral accounts and a monthly waterfall (Exhibit 4). Triggers: Cash Trap, Cash Sweep, MSA non-replacement</w:t>
            </w:r>
          </w:p>
        </w:tc>
      </w:tr>
      <w:tr>
        <w:tc>
          <w:tcPr>
            <w:tcW w:type="dxa" w:w="2736"/>
          </w:tcPr>
          <w:p>
            <w:r/>
            <w:r>
              <w:rPr>
                <w:rFonts w:ascii="Arial" w:hAnsi="Arial" w:eastAsia="Arial"/>
                <w:b w:val="0"/>
                <w:i w:val="0"/>
                <w:color w:val="2A3140"/>
                <w:sz w:val="17"/>
              </w:rPr>
              <w:t>Amendments</w:t>
            </w:r>
          </w:p>
        </w:tc>
        <w:tc>
          <w:tcPr>
            <w:tcW w:type="dxa" w:w="6624"/>
          </w:tcPr>
          <w:p>
            <w:r/>
            <w:r>
              <w:rPr>
                <w:rFonts w:ascii="Arial" w:hAnsi="Arial" w:eastAsia="Arial"/>
                <w:b w:val="0"/>
                <w:i w:val="0"/>
                <w:color w:val="2A3140"/>
                <w:sz w:val="17"/>
              </w:rPr>
              <w:t>Required Lenders: more than 50% of Loans and Commitments</w:t>
            </w:r>
          </w:p>
        </w:tc>
      </w:tr>
    </w:tbl>
    <w:p/>
    <w:p>
      <w:r>
        <w:rPr>
          <w:rFonts w:ascii="Arial" w:hAnsi="Arial" w:eastAsia="Arial"/>
          <w:b w:val="0"/>
          <w:i/>
          <w:color w:val="2A3140"/>
          <w:sz w:val="21"/>
        </w:rPr>
        <w:t>Section references and full waterfall wording are in Exhibit 4. Redacted items: Total Projected Contract Value, MSA counterparties, data center sites, Weighted Average Hourly GPU Rate, Renewal Deadline, cost caps, Schedules 2.08 and 4.02(l), fee letters.</w:t>
      </w:r>
    </w:p>
    <w:p>
      <w:pPr>
        <w:spacing w:before="240"/>
      </w:pPr>
      <w:r>
        <w:rPr>
          <w:rFonts w:ascii="Georgia" w:hAnsi="Georgia" w:eastAsia="Georgia"/>
          <w:b/>
          <w:i w:val="0"/>
          <w:color w:val="1E3A5F"/>
          <w:sz w:val="26"/>
        </w:rPr>
        <w:t>8. Diligence findings</w:t>
      </w:r>
    </w:p>
    <w:p>
      <w:pPr>
        <w:pStyle w:val="ListBullet"/>
      </w:pPr>
      <w:r>
        <w:rPr>
          <w:rFonts w:ascii="Arial" w:hAnsi="Arial" w:eastAsia="Arial"/>
          <w:b/>
          <w:i w:val="0"/>
          <w:color w:val="2A3140"/>
          <w:sz w:val="21"/>
        </w:rPr>
        <w:t>Documents:</w:t>
      </w:r>
      <w:r>
        <w:rPr>
          <w:rFonts w:ascii="Arial" w:hAnsi="Arial" w:eastAsia="Arial"/>
          <w:b w:val="0"/>
          <w:i w:val="0"/>
          <w:color w:val="2A3140"/>
          <w:sz w:val="21"/>
        </w:rPr>
        <w:t xml:space="preserve"> Total Projected Contract Value, the numerator of the PCVR, is redacted; so are the Renewal Deadline and the amortization schedule. The Base Case Model delivered at closing, which drives Projected DSCR on uncontracted periods, is not public. These have been requested from the seller.</w:t>
      </w:r>
    </w:p>
    <w:p>
      <w:pPr>
        <w:pStyle w:val="ListBullet"/>
      </w:pPr>
      <w:r>
        <w:rPr>
          <w:rFonts w:ascii="Arial" w:hAnsi="Arial" w:eastAsia="Arial"/>
          <w:b/>
          <w:i w:val="0"/>
          <w:color w:val="2A3140"/>
          <w:sz w:val="21"/>
        </w:rPr>
        <w:t>Customers:</w:t>
      </w:r>
      <w:r>
        <w:rPr>
          <w:rFonts w:ascii="Arial" w:hAnsi="Arial" w:eastAsia="Arial"/>
          <w:b w:val="0"/>
          <w:i w:val="0"/>
          <w:color w:val="2A3140"/>
          <w:sz w:val="21"/>
        </w:rPr>
        <w:t xml:space="preserve"> the five initial MSA counterparties are confidential. The seller will disclose names and contract terms only under a non-disclosure agreement after the IC approves in principle.</w:t>
      </w:r>
    </w:p>
    <w:p>
      <w:pPr>
        <w:pStyle w:val="ListBullet"/>
      </w:pPr>
      <w:r>
        <w:rPr>
          <w:rFonts w:ascii="Arial" w:hAnsi="Arial" w:eastAsia="Arial"/>
          <w:b/>
          <w:i w:val="0"/>
          <w:color w:val="2A3140"/>
          <w:sz w:val="21"/>
        </w:rPr>
        <w:t>Parent:</w:t>
      </w:r>
      <w:r>
        <w:rPr>
          <w:rFonts w:ascii="Arial" w:hAnsi="Arial" w:eastAsia="Arial"/>
          <w:b w:val="0"/>
          <w:i w:val="0"/>
          <w:color w:val="2A3140"/>
          <w:sz w:val="21"/>
        </w:rPr>
        <w:t xml:space="preserve"> management concluded that disclosure controls were not effective at 30 Jun 2026; the parent reported net losses in every period shown, and its 9.25% 2030 notes traded at 92.03 (12.00% yield) on 8 Oct 2026.</w:t>
      </w:r>
    </w:p>
    <w:p>
      <w:pPr>
        <w:pStyle w:val="ListBullet"/>
      </w:pPr>
      <w:r>
        <w:rPr>
          <w:rFonts w:ascii="Arial" w:hAnsi="Arial" w:eastAsia="Arial"/>
          <w:b/>
          <w:i w:val="0"/>
          <w:color w:val="2A3140"/>
          <w:sz w:val="21"/>
        </w:rPr>
        <w:t>Data:</w:t>
      </w:r>
      <w:r>
        <w:rPr>
          <w:rFonts w:ascii="Arial" w:hAnsi="Arial" w:eastAsia="Arial"/>
          <w:b w:val="0"/>
          <w:i w:val="0"/>
          <w:color w:val="2A3140"/>
          <w:sz w:val="21"/>
        </w:rPr>
        <w:t xml:space="preserve"> the 2Q26 10-Q shows 1H25 capex as originally reported, while the 3Q25 release treated $890M of it as non-cash. Quarterly Adjusted EBITDA does not sum exactly to the year-to-date figures because each release rounds its own components (Exhibit 2).</w:t>
      </w:r>
    </w:p>
    <w:p>
      <w:pPr>
        <w:pStyle w:val="ListBullet"/>
      </w:pPr>
      <w:r>
        <w:rPr>
          <w:rFonts w:ascii="Arial" w:hAnsi="Arial" w:eastAsia="Arial"/>
          <w:b/>
          <w:i w:val="0"/>
          <w:color w:val="2A3140"/>
          <w:sz w:val="21"/>
        </w:rPr>
        <w:t>Assets:</w:t>
      </w:r>
      <w:r>
        <w:rPr>
          <w:rFonts w:ascii="Arial" w:hAnsi="Arial" w:eastAsia="Arial"/>
          <w:b w:val="0"/>
          <w:i w:val="0"/>
          <w:color w:val="2A3140"/>
          <w:sz w:val="21"/>
        </w:rPr>
        <w:t xml:space="preserve"> the GPU models, data center sites and purchase orders are not disclosed. No third-party appraisal or residual value report is available.</w:t>
      </w:r>
    </w:p>
    <w:p>
      <w:pPr>
        <w:spacing w:before="240"/>
      </w:pPr>
      <w:r>
        <w:rPr>
          <w:rFonts w:ascii="Georgia" w:hAnsi="Georgia" w:eastAsia="Georgia"/>
          <w:b/>
          <w:i w:val="0"/>
          <w:color w:val="1E3A5F"/>
          <w:sz w:val="26"/>
        </w:rPr>
        <w:t>9. Questions</w:t>
      </w:r>
    </w:p>
    <w:p>
      <w:pPr>
        <w:pStyle w:val="ListNumber"/>
      </w:pPr>
      <w:r>
        <w:rPr>
          <w:rFonts w:ascii="Arial" w:hAnsi="Arial" w:eastAsia="Arial"/>
          <w:b w:val="0"/>
          <w:i w:val="0"/>
          <w:color w:val="2A3140"/>
          <w:sz w:val="21"/>
        </w:rPr>
        <w:t>Using Exhibits 4 and 5, compute (a) the Funding Date Capital Expenditures a full draw requires, the lenders' loan-to-cost and the parent's equity at risk; (b) the minimum Total Projected Contract Value consistent with a 2.40x PCVR at full draw and at the $1.3bn Minimum DDTL Amount, and the annual contracted revenue that implies if contracts average about three years; and (c) the depreciated value of the financed equipment at the Term Maturity Date on the agreement's 6-year straight-line basis, compared with a loan held at the Minimum DDTL Amount. State your placed-in-service assumption. Explain why the PCVR cannot be computed from public data and which definition you would ask for first.</w:t>
      </w:r>
    </w:p>
    <w:p>
      <w:pPr>
        <w:pStyle w:val="ListNumber"/>
      </w:pPr>
      <w:r>
        <w:rPr>
          <w:rFonts w:ascii="Arial" w:hAnsi="Arial" w:eastAsia="Arial"/>
          <w:b w:val="0"/>
          <w:i w:val="0"/>
          <w:color w:val="2A3140"/>
          <w:sz w:val="21"/>
        </w:rPr>
        <w:t>Compute the all-in yield on Tamsin's position at 99.50 using the house convention and 1M CME Term SOFR of 3.92490% (9 Oct 2026), showing the undrawn fee separately. Compare it with DDTL 5.0 and DDTL 4.0, with the spread of CoreWeave's 9.25% 2030 notes over interpolated Treasuries (Exhibit 6), and with B-rated BSL at S+412 plus the 178bp private-over-public premium. Is Term SOFR + 5.50% adequate for a Ba2/BB+ SPV loan guaranteed by a parent rated Ba3/B+/BB-, and what price would you bid?</w:t>
      </w:r>
    </w:p>
    <w:p>
      <w:pPr>
        <w:pStyle w:val="ListNumber"/>
      </w:pPr>
      <w:r>
        <w:rPr>
          <w:rFonts w:ascii="Arial" w:hAnsi="Arial" w:eastAsia="Arial"/>
          <w:b w:val="0"/>
          <w:i w:val="0"/>
          <w:color w:val="2A3140"/>
          <w:sz w:val="21"/>
        </w:rPr>
        <w:t>Build a downside case for the SPV. Use CoreWeave's worst quarter in Exhibit 2 (Adjusted EBITDA margin and Adjusted EBITDA ÷ interest expense) as the proxy for SPV operating margin. At contract expiry, re-lease at a sourced rental decline from Exhibit 7 (state which index and why), and add a severe case based on older-generation pricing. Add the forward curve +100bp. Show DSCR, PCVR, any resizing prepayment, the loan balance at maturity against depreciated value and hardware price references, and estimate recovery with and without the parent guarantee.</w:t>
      </w:r>
    </w:p>
    <w:p>
      <w:pPr>
        <w:pStyle w:val="ListNumber"/>
      </w:pPr>
      <w:r>
        <w:rPr>
          <w:rFonts w:ascii="Arial" w:hAnsi="Arial" w:eastAsia="Arial"/>
          <w:b w:val="0"/>
          <w:i w:val="0"/>
          <w:color w:val="2A3140"/>
          <w:sz w:val="21"/>
        </w:rPr>
        <w:t>Critique the documents as a lender: Qualified Customer self-certification, the redacted Total Projected Contract Value and Renewal Deadline, borrower-calculated Projected DSCR, the $1.3bn Minimum DDTL Amount and Distribution Conditions, the 70% advance on capex that includes ancillary hardware and installation, Debt Service that excludes the bullet, unlimited cures to three months after the Commitment Termination Date, Management Agreement fees paid ahead of the sweep, and the $260M free prepayment basket. Which three to five matter most? As a secondary buyer you cannot reopen the documents alone: size a counter-proposal (amount, price, conditions) that protects Tamsin.</w:t>
      </w:r>
    </w:p>
    <w:p>
      <w:pPr>
        <w:pStyle w:val="ListNumber"/>
      </w:pPr>
      <w:r>
        <w:rPr>
          <w:rFonts w:ascii="Arial" w:hAnsi="Arial" w:eastAsia="Arial"/>
          <w:b w:val="0"/>
          <w:i w:val="0"/>
          <w:color w:val="2A3140"/>
          <w:sz w:val="21"/>
        </w:rPr>
        <w:t>Recommend approval, approval with conditions or decline. State your hold size and price, the diligence items that must be closed before trade date, and how this position should count against Tamsin's exposure to CoreWeave and to AI-compute counterparties.</w:t>
      </w:r>
    </w:p>
    <w:p>
      <w:r>
        <w:rPr>
          <w:rFonts w:ascii="Arial" w:hAnsi="Arial" w:eastAsia="Arial"/>
          <w:b w:val="0"/>
          <w:i/>
          <w:color w:val="2A3140"/>
          <w:sz w:val="21"/>
        </w:rPr>
        <w:t>Abbreviations: BSL, broadly syndicated loan; DDTL, delayed-draw term loan; DSCR, debt service coverage ratio; LTM, last twelve months; MSA, master services agreement; NOI, Net Operating Income; OEM, original equipment manufacturer; OID, original issue discount; PCVR, Projected Contract Value Ratio; RPO, remaining performance obligations; SOFR, Secured Overnight Financing Rate; SPV, special purpose vehicle. Definitions are in the workbook README.</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5B6475"/>
        <w:sz w:val="16"/>
      </w:rPr>
      <w:t xml:space="preserve">IC Simulator · CoreWeave DDTL 5.5 · Advanced · Practice use only · Page </w:t>
    </w:r>
    <w:r>
      <w:rPr>
        <w:sz w:val="16"/>
      </w:rPr>
      <w:fldChar w:fldCharType="begin"/>
      <w:instrText xml:space="preserve">PAGE</w:instrText>
      <w:fldChar w:fldCharType="end"/>
    </w:r>
    <w:r>
      <w:rPr>
        <w:rFonts w:ascii="Arial" w:hAnsi="Arial" w:eastAsia="Arial"/>
        <w:b w:val="0"/>
        <w:i w:val="0"/>
        <w:color w:val="5B6475"/>
        <w:sz w:val="16"/>
      </w:rPr>
      <w:t xml:space="preserve"> of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eastAsia="Arial"/>
        <w:b w:val="0"/>
        <w:i w:val="0"/>
        <w:color w:val="5B6475"/>
        <w:sz w:val="16"/>
      </w:rPr>
      <w:t>CoreWeave: buying into DDTL 5.5 · Case packet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