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eastAsia="Georgia"/>
          <w:b/>
          <w:i w:val="0"/>
          <w:color w:val="121826"/>
          <w:sz w:val="36"/>
        </w:rPr>
        <w:t>Hollywood Media Portfolio: the $1.1bn CMBS take-out</w:t>
      </w:r>
    </w:p>
    <w:p>
      <w:r>
        <w:rPr>
          <w:rFonts w:ascii="Arial" w:hAnsi="Arial" w:eastAsia="Arial"/>
          <w:b/>
          <w:i w:val="0"/>
          <w:color w:val="2A3140"/>
          <w:sz w:val="21"/>
        </w:rPr>
        <w:t>Real estate debt · Advanced · Take-home (1–2 days) · Case date: Monday 12 October 2026 · Data as of 9 October 2026</w:t>
      </w:r>
    </w:p>
    <w:tbl>
      <w:tblPr>
        <w:tblW w:type="auto" w:w="0"/>
        <w:tblLook w:firstColumn="1" w:firstRow="1" w:lastColumn="0" w:lastRow="0" w:noHBand="0" w:noVBand="1" w:val="04A0"/>
      </w:tblPr>
      <w:tblGrid>
        <w:gridCol w:w="9360"/>
      </w:tblGrid>
      <w:tr>
        <w:tc>
          <w:tcPr>
            <w:tcW w:type="dxa" w:w="9360"/>
            <w:shd w:val="clear" w:color="auto" w:fill="F2F4F8"/>
          </w:tcPr>
          <w:p>
            <w:r>
              <w:rPr>
                <w:rFonts w:ascii="Arial" w:hAnsi="Arial" w:eastAsia="Arial"/>
                <w:b w:val="0"/>
                <w:i w:val="0"/>
                <w:color w:val="2A3140"/>
                <w:sz w:val="19"/>
              </w:rPr>
              <w:t>About this case. The borrower, the properties, the existing loan and every historical figure are real and come from public filings and dated third-party sources, cited in brackets (for example [S1]); the source list is in the data book README. The take-out request, its terms, the lender (Larkspur Real Estate Credit) and your role are hypothetical. Practice use only. Figures are in $ thousands ($000s) in tables and in $ millions ($M) in text unless stated. The data book is exhibits-hollywood-media-portfolio-cmbs-takeout.xlsx (Exhibits 1–8 and a Checks tab). No memo, model or deck templates ship with this case yet: build your own.</w:t>
            </w:r>
          </w:p>
        </w:tc>
      </w:tr>
    </w:tbl>
    <w:p/>
    <w:p>
      <w:pPr>
        <w:spacing w:before="200"/>
      </w:pPr>
      <w:r>
        <w:rPr>
          <w:rFonts w:ascii="Georgia" w:hAnsi="Georgia" w:eastAsia="Georgia"/>
          <w:b/>
          <w:i w:val="0"/>
          <w:color w:val="1E3A5F"/>
          <w:sz w:val="26"/>
        </w:rPr>
        <w:t>0. The ask</w:t>
      </w:r>
    </w:p>
    <w:p>
      <w:r>
        <w:rPr>
          <w:rFonts w:ascii="Arial" w:hAnsi="Arial" w:eastAsia="Arial"/>
          <w:b w:val="0"/>
          <w:i w:val="0"/>
          <w:color w:val="2A3140"/>
          <w:sz w:val="21"/>
        </w:rPr>
        <w:t>You are a vice president on the real estate credit team at Larkspur Real Estate Credit, a fictional private debt fund that lends on transitional office and specialty property. The Hudson Pacific Properties (HPP) and Blackstone joint venture that owns the Hollywood Media Portfolio has asked Larkspur to refinance the whole $1,100.0M CMBS loan on the portfolio, which now matures on 9 November 2027. The investment committee (IC) meets on Thursday 15 October 2026 and wants your recommendation: approve, decline or counter, and on what terms. Deliverables: a full IC credit memo, your underwriting model and a 10-slide deck. Time budget: take-home, 1–2 days.</w:t>
      </w:r>
    </w:p>
    <w:p>
      <w:pPr>
        <w:spacing w:before="200"/>
      </w:pPr>
      <w:r>
        <w:rPr>
          <w:rFonts w:ascii="Georgia" w:hAnsi="Georgia" w:eastAsia="Georgia"/>
          <w:b/>
          <w:i w:val="0"/>
          <w:color w:val="1E3A5F"/>
          <w:sz w:val="26"/>
        </w:rPr>
        <w:t>1. Transaction summary</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321"/>
        <w:gridCol w:w="6039"/>
      </w:tblGrid>
      <w:tr>
        <w:tc>
          <w:tcPr>
            <w:tcW w:type="dxa" w:w="3321"/>
            <w:shd w:val="clear" w:color="auto" w:fill="E4EAF3"/>
          </w:tcPr>
          <w:p>
            <w:r>
              <w:rPr>
                <w:rFonts w:ascii="Arial" w:hAnsi="Arial" w:eastAsia="Arial"/>
                <w:b/>
                <w:i w:val="0"/>
                <w:color w:val="121826"/>
                <w:sz w:val="17"/>
              </w:rPr>
              <w:t>Item</w:t>
            </w:r>
          </w:p>
        </w:tc>
        <w:tc>
          <w:tcPr>
            <w:tcW w:type="dxa" w:w="6039"/>
            <w:shd w:val="clear" w:color="auto" w:fill="E4EAF3"/>
          </w:tcPr>
          <w:p>
            <w:r>
              <w:rPr>
                <w:rFonts w:ascii="Arial" w:hAnsi="Arial" w:eastAsia="Arial"/>
                <w:b/>
                <w:i w:val="0"/>
                <w:color w:val="121826"/>
                <w:sz w:val="17"/>
              </w:rPr>
              <w:t>Detail</w:t>
            </w:r>
          </w:p>
        </w:tc>
      </w:tr>
      <w:tr>
        <w:tc>
          <w:tcPr>
            <w:tcW w:type="dxa" w:w="3321"/>
          </w:tcPr>
          <w:p>
            <w:r>
              <w:rPr>
                <w:rFonts w:ascii="Arial" w:hAnsi="Arial" w:eastAsia="Arial"/>
                <w:b w:val="0"/>
                <w:i w:val="0"/>
                <w:color w:val="2A3140"/>
                <w:sz w:val="17"/>
              </w:rPr>
              <w:t>Borrowers</w:t>
            </w:r>
          </w:p>
        </w:tc>
        <w:tc>
          <w:tcPr>
            <w:tcW w:type="dxa" w:w="6039"/>
          </w:tcPr>
          <w:p>
            <w:r>
              <w:rPr>
                <w:rFonts w:ascii="Arial" w:hAnsi="Arial" w:eastAsia="Arial"/>
                <w:b w:val="0"/>
                <w:i w:val="0"/>
                <w:color w:val="2A3140"/>
                <w:sz w:val="17"/>
              </w:rPr>
              <w:t>The property-owning entities of the Hollywood Media Portfolio joint venture: HPP 51.0%, funds affiliated with Blackstone Property Partners 49.0%</w:t>
            </w:r>
          </w:p>
        </w:tc>
      </w:tr>
      <w:tr>
        <w:tc>
          <w:tcPr>
            <w:tcW w:type="dxa" w:w="3321"/>
          </w:tcPr>
          <w:p>
            <w:r>
              <w:rPr>
                <w:rFonts w:ascii="Arial" w:hAnsi="Arial" w:eastAsia="Arial"/>
                <w:b w:val="0"/>
                <w:i w:val="0"/>
                <w:color w:val="2A3140"/>
                <w:sz w:val="17"/>
              </w:rPr>
              <w:t>Sponsors</w:t>
            </w:r>
          </w:p>
        </w:tc>
        <w:tc>
          <w:tcPr>
            <w:tcW w:type="dxa" w:w="6039"/>
          </w:tcPr>
          <w:p>
            <w:r>
              <w:rPr>
                <w:rFonts w:ascii="Arial" w:hAnsi="Arial" w:eastAsia="Arial"/>
                <w:b w:val="0"/>
                <w:i w:val="0"/>
                <w:color w:val="2A3140"/>
                <w:sz w:val="17"/>
              </w:rPr>
              <w:t>Hudson Pacific Properties, Inc. (NYSE: HPP), the operating partner; Blackstone Property Partners</w:t>
            </w:r>
          </w:p>
        </w:tc>
      </w:tr>
      <w:tr>
        <w:tc>
          <w:tcPr>
            <w:tcW w:type="dxa" w:w="3321"/>
          </w:tcPr>
          <w:p>
            <w:r>
              <w:rPr>
                <w:rFonts w:ascii="Arial" w:hAnsi="Arial" w:eastAsia="Arial"/>
                <w:b w:val="0"/>
                <w:i w:val="0"/>
                <w:color w:val="2A3140"/>
                <w:sz w:val="17"/>
              </w:rPr>
              <w:t>Collateral</w:t>
            </w:r>
          </w:p>
        </w:tc>
        <w:tc>
          <w:tcPr>
            <w:tcW w:type="dxa" w:w="6039"/>
          </w:tcPr>
          <w:p>
            <w:r>
              <w:rPr>
                <w:rFonts w:ascii="Arial" w:hAnsi="Arial" w:eastAsia="Arial"/>
                <w:b w:val="0"/>
                <w:i w:val="0"/>
                <w:color w:val="2A3140"/>
                <w:sz w:val="17"/>
              </w:rPr>
              <w:t>Three Hollywood studio lots and five office buildings, 2,172,133 sq ft</w:t>
            </w:r>
          </w:p>
        </w:tc>
      </w:tr>
      <w:tr>
        <w:tc>
          <w:tcPr>
            <w:tcW w:type="dxa" w:w="3321"/>
          </w:tcPr>
          <w:p>
            <w:r>
              <w:rPr>
                <w:rFonts w:ascii="Arial" w:hAnsi="Arial" w:eastAsia="Arial"/>
                <w:b w:val="0"/>
                <w:i w:val="0"/>
                <w:color w:val="2A3140"/>
                <w:sz w:val="17"/>
              </w:rPr>
              <w:t>Facility requested (HYPOTHETICAL)</w:t>
            </w:r>
          </w:p>
        </w:tc>
        <w:tc>
          <w:tcPr>
            <w:tcW w:type="dxa" w:w="6039"/>
          </w:tcPr>
          <w:p>
            <w:r>
              <w:rPr>
                <w:rFonts w:ascii="Arial" w:hAnsi="Arial" w:eastAsia="Arial"/>
                <w:b w:val="0"/>
                <w:i w:val="0"/>
                <w:color w:val="2A3140"/>
                <w:sz w:val="17"/>
              </w:rPr>
              <w:t>$1,100.0M senior floating-rate first mortgage loan, interest-only</w:t>
            </w:r>
          </w:p>
        </w:tc>
      </w:tr>
      <w:tr>
        <w:tc>
          <w:tcPr>
            <w:tcW w:type="dxa" w:w="3321"/>
          </w:tcPr>
          <w:p>
            <w:r>
              <w:rPr>
                <w:rFonts w:ascii="Arial" w:hAnsi="Arial" w:eastAsia="Arial"/>
                <w:b w:val="0"/>
                <w:i w:val="0"/>
                <w:color w:val="2A3140"/>
                <w:sz w:val="17"/>
              </w:rPr>
              <w:t>Use of proceeds</w:t>
            </w:r>
          </w:p>
        </w:tc>
        <w:tc>
          <w:tcPr>
            <w:tcW w:type="dxa" w:w="6039"/>
          </w:tcPr>
          <w:p>
            <w:r>
              <w:rPr>
                <w:rFonts w:ascii="Arial" w:hAnsi="Arial" w:eastAsia="Arial"/>
                <w:b w:val="0"/>
                <w:i w:val="0"/>
                <w:color w:val="2A3140"/>
                <w:sz w:val="17"/>
              </w:rPr>
              <w:t>Repay the BXHPP Trust 2021-FILM CMBS loan ($1,100.0M), fund a $20.0M leasing reserve, pay fees and costs</w:t>
            </w:r>
          </w:p>
        </w:tc>
      </w:tr>
      <w:tr>
        <w:tc>
          <w:tcPr>
            <w:tcW w:type="dxa" w:w="3321"/>
          </w:tcPr>
          <w:p>
            <w:r>
              <w:rPr>
                <w:rFonts w:ascii="Arial" w:hAnsi="Arial" w:eastAsia="Arial"/>
                <w:b w:val="0"/>
                <w:i w:val="0"/>
                <w:color w:val="2A3140"/>
                <w:sz w:val="17"/>
              </w:rPr>
              <w:t>Pricing requested (HYPOTHETICAL)</w:t>
            </w:r>
          </w:p>
        </w:tc>
        <w:tc>
          <w:tcPr>
            <w:tcW w:type="dxa" w:w="6039"/>
          </w:tcPr>
          <w:p>
            <w:r>
              <w:rPr>
                <w:rFonts w:ascii="Arial" w:hAnsi="Arial" w:eastAsia="Arial"/>
                <w:b w:val="0"/>
                <w:i w:val="0"/>
                <w:color w:val="2A3140"/>
                <w:sz w:val="17"/>
              </w:rPr>
              <w:t>1-month (1M) CME Term SOFR + 325bp, SOFR floor 2.00%, origination fee 1.00%</w:t>
            </w:r>
          </w:p>
        </w:tc>
      </w:tr>
      <w:tr>
        <w:tc>
          <w:tcPr>
            <w:tcW w:type="dxa" w:w="3321"/>
          </w:tcPr>
          <w:p>
            <w:r>
              <w:rPr>
                <w:rFonts w:ascii="Arial" w:hAnsi="Arial" w:eastAsia="Arial"/>
                <w:b w:val="0"/>
                <w:i w:val="0"/>
                <w:color w:val="2A3140"/>
                <w:sz w:val="17"/>
              </w:rPr>
              <w:t>Base rate</w:t>
            </w:r>
          </w:p>
        </w:tc>
        <w:tc>
          <w:tcPr>
            <w:tcW w:type="dxa" w:w="6039"/>
          </w:tcPr>
          <w:p>
            <w:r>
              <w:rPr>
                <w:rFonts w:ascii="Arial" w:hAnsi="Arial" w:eastAsia="Arial"/>
                <w:b w:val="0"/>
                <w:i w:val="0"/>
                <w:color w:val="2A3140"/>
                <w:sz w:val="17"/>
              </w:rPr>
              <w:t>1M CME Term SOFR 3.925% on 9 October 2026 (CME data via global-rates.com) [S18]</w:t>
            </w:r>
          </w:p>
        </w:tc>
      </w:tr>
      <w:tr>
        <w:tc>
          <w:tcPr>
            <w:tcW w:type="dxa" w:w="3321"/>
          </w:tcPr>
          <w:p>
            <w:r>
              <w:rPr>
                <w:rFonts w:ascii="Arial" w:hAnsi="Arial" w:eastAsia="Arial"/>
                <w:b w:val="0"/>
                <w:i w:val="0"/>
                <w:color w:val="2A3140"/>
                <w:sz w:val="17"/>
              </w:rPr>
              <w:t>Target closing (HYPOTHETICAL)</w:t>
            </w:r>
          </w:p>
        </w:tc>
        <w:tc>
          <w:tcPr>
            <w:tcW w:type="dxa" w:w="6039"/>
          </w:tcPr>
          <w:p>
            <w:r>
              <w:rPr>
                <w:rFonts w:ascii="Arial" w:hAnsi="Arial" w:eastAsia="Arial"/>
                <w:b w:val="0"/>
                <w:i w:val="0"/>
                <w:color w:val="2A3140"/>
                <w:sz w:val="17"/>
              </w:rPr>
              <w:t>29 January 2027</w:t>
            </w:r>
          </w:p>
        </w:tc>
      </w:tr>
    </w:tbl>
    <w:p>
      <w:pPr>
        <w:spacing w:after="40"/>
      </w:pPr>
    </w:p>
    <w:p>
      <w:pPr>
        <w:spacing w:before="200"/>
      </w:pPr>
      <w:r>
        <w:rPr>
          <w:rFonts w:ascii="Georgia" w:hAnsi="Georgia" w:eastAsia="Georgia"/>
          <w:b/>
          <w:i w:val="0"/>
          <w:color w:val="1E3A5F"/>
          <w:sz w:val="26"/>
        </w:rPr>
        <w:t>2. Property overview</w:t>
      </w:r>
    </w:p>
    <w:p>
      <w:r>
        <w:rPr>
          <w:rFonts w:ascii="Arial" w:hAnsi="Arial" w:eastAsia="Arial"/>
          <w:b w:val="0"/>
          <w:i w:val="0"/>
          <w:color w:val="2A3140"/>
          <w:sz w:val="21"/>
        </w:rPr>
        <w:t>The Hollywood Media Portfolio is HPP's core studio-and-office cluster in Hollywood, Los Angeles. In July 2020 funds affiliated with Blackstone Property Partners bought a 49% interest at a gross portfolio valuation of $1.65bn; HPP kept 51% and remains responsible for day-to-day operations, leasing and development, for which it earns property management and other fees [S9].</w:t>
      </w:r>
    </w:p>
    <w:p>
      <w:r>
        <w:rPr>
          <w:rFonts w:ascii="Arial" w:hAnsi="Arial" w:eastAsia="Arial"/>
          <w:b w:val="0"/>
          <w:i w:val="0"/>
          <w:color w:val="2A3140"/>
          <w:sz w:val="21"/>
        </w:rPr>
        <w:t>The collateral has two halves.</w:t>
      </w:r>
    </w:p>
    <w:p>
      <w:r>
        <w:rPr>
          <w:rFonts w:ascii="Arial" w:hAnsi="Arial" w:eastAsia="Arial"/>
          <w:b/>
          <w:i w:val="0"/>
          <w:color w:val="2A3140"/>
          <w:sz w:val="21"/>
        </w:rPr>
        <w:t>Studio lots.</w:t>
      </w:r>
      <w:r>
        <w:rPr>
          <w:rFonts w:ascii="Arial" w:hAnsi="Arial" w:eastAsia="Arial"/>
          <w:b w:val="0"/>
          <w:i w:val="0"/>
          <w:color w:val="2A3140"/>
          <w:sz w:val="21"/>
        </w:rPr>
        <w:t xml:space="preserve"> Sunset Gower (559,422 sq ft, 12 stages), Sunset Bronson (310,563 sq ft, 9 stages) and Sunset Las Palmas (334,954 sq ft, 11 stages). The lots earn rent for sound stages, production offices and support space, usually on short production-length or series-length licences, plus service revenue from lighting, grip and equipment. Income therefore moves with Los Angeles production volume. Studio NOI fell from $29.2M in FY23A to $22.9M in FY25A, then recovered to $26.6M for the twelve months to June 2026 as the average % leased rose to 83.5% (Exhibits 1, 2 and 8).</w:t>
      </w:r>
    </w:p>
    <w:p>
      <w:r>
        <w:rPr>
          <w:rFonts w:ascii="Arial" w:hAnsi="Arial" w:eastAsia="Arial"/>
          <w:b/>
          <w:i w:val="0"/>
          <w:color w:val="2A3140"/>
          <w:sz w:val="21"/>
        </w:rPr>
        <w:t>Office buildings.</w:t>
      </w:r>
      <w:r>
        <w:rPr>
          <w:rFonts w:ascii="Arial" w:hAnsi="Arial" w:eastAsia="Arial"/>
          <w:b w:val="0"/>
          <w:i w:val="0"/>
          <w:color w:val="2A3140"/>
          <w:sz w:val="21"/>
        </w:rPr>
        <w:t xml:space="preserve"> ICON (326,792 sq ft), EPIC (301,127 sq ft), CUE (94,386 sq ft), Harlow (129,931 sq ft) and 6040 Sunset (114,958 sq ft). Netflix leases all of ICON, EPIC and CUE, 722,305 sq ft in total, on leases expiring 30 September 2031. The four in-service buildings were 100% occupied at 30 June 2026 with annualized base rent (ABR) of $63.0M, or $73.98 per sq ft. 6040 Sunset had an early lease termination in 2025 and went into repositioning in the first quarter of 2026 [S1].</w:t>
      </w:r>
    </w:p>
    <w:p>
      <w:r>
        <w:rPr>
          <w:rFonts w:ascii="Arial" w:hAnsi="Arial" w:eastAsia="Arial"/>
          <w:b/>
          <w:i w:val="0"/>
          <w:color w:val="2A3140"/>
          <w:sz w:val="21"/>
        </w:rPr>
        <w:t>The loan.</w:t>
      </w:r>
      <w:r>
        <w:rPr>
          <w:rFonts w:ascii="Arial" w:hAnsi="Arial" w:eastAsia="Arial"/>
          <w:b w:val="0"/>
          <w:i w:val="0"/>
          <w:color w:val="2A3140"/>
          <w:sz w:val="21"/>
        </w:rPr>
        <w:t xml:space="preserve"> The joint venture's original $1,100.0M floating-rate CMBS loan (BXHPP Trust 2021-FILM) was interest-only at SOFR + 1.10%. It reached its fully extended maturity on 9 August 2026, received a 30-day extension to 9 September, and on that date was modified to mature on 9 November 2027. The modification kept the rate and required no paydown. The joint venture reallocated partnership funds to a $20.0M leasing and capital reserve, and all future excess cash flow is swept into it. HPP separately entered into a derivative swapping SOFR at 3.50% through maturity (notional not disclosed) [S7]. HPP holds $30.2M of the certificates itself.</w:t>
      </w:r>
    </w:p>
    <w:p>
      <w:r>
        <w:rPr>
          <w:rFonts w:ascii="Arial" w:hAnsi="Arial" w:eastAsia="Arial"/>
          <w:b/>
          <w:i w:val="0"/>
          <w:color w:val="2A3140"/>
          <w:sz w:val="21"/>
        </w:rPr>
        <w:t>Management.</w:t>
      </w:r>
      <w:r>
        <w:rPr>
          <w:rFonts w:ascii="Arial" w:hAnsi="Arial" w:eastAsia="Arial"/>
          <w:b w:val="0"/>
          <w:i w:val="0"/>
          <w:color w:val="2A3140"/>
          <w:sz w:val="21"/>
        </w:rPr>
        <w:t xml:space="preserve"> HPP's executives run the portfolio; the case uses no individual names.</w:t>
      </w:r>
    </w:p>
    <w:p>
      <w:pPr>
        <w:spacing w:before="200"/>
      </w:pPr>
      <w:r>
        <w:rPr>
          <w:rFonts w:ascii="Georgia" w:hAnsi="Georgia" w:eastAsia="Georgia"/>
          <w:b/>
          <w:i w:val="0"/>
          <w:color w:val="1E3A5F"/>
          <w:sz w:val="26"/>
        </w:rPr>
        <w:t>3. Market</w:t>
      </w:r>
    </w:p>
    <w:p>
      <w:r>
        <w:rPr>
          <w:rFonts w:ascii="Arial" w:hAnsi="Arial" w:eastAsia="Arial"/>
          <w:b w:val="0"/>
          <w:i w:val="0"/>
          <w:color w:val="2A3140"/>
          <w:sz w:val="21"/>
        </w:rPr>
        <w:t>Los Angeles production has not recovered to its pre-strike level. FilmLA counted 4,711 on-location shoot days in the second quarter of 2026, down 12.7% from 5,394 a year earlier [S21]. The 2023 writers' and actors' strikes (May to November 2023) are visible in the studio lots' 2023 quarters (Exhibit 2). Studio demand is also being reshaped by the streamers: in June 2026 Netflix bought the roughly 1.1M sq ft Radford Studio Center for $400.0M, about $364 per sq ft, against a 2021 appraisal of $1.8bn [S13].</w:t>
      </w:r>
    </w:p>
    <w:p>
      <w:r>
        <w:rPr>
          <w:rFonts w:ascii="Arial" w:hAnsi="Arial" w:eastAsia="Arial"/>
          <w:b w:val="0"/>
          <w:i w:val="0"/>
          <w:color w:val="2A3140"/>
          <w:sz w:val="21"/>
        </w:rPr>
        <w:t>Office credit remains under stress. Trepp's CMBS delinquency rate for September 2026 was 8.0% across property types and 12.2% for office [S14]. Lenders are still active, mostly at lower leverage. CBRE's Q2-2026 averages for stabilised, mostly fixed-rate permanent loans were LTV 59.6%, DSCR 1.43x and debt yield 10.2% [S15]. Piccard's summer-2026 quote survey put the median office floating bridge loan at SOFR + 470bp (middle half 436–496bp), 70.0% as-is LTV and a 12.5% stabilised debt yield, on a small sample of eight quotes [S16]. CRED iQ reports 2026 new-issue securitised office loans at a 7.4% cap rate and a 13.8% NCF debt yield [S17].</w:t>
      </w:r>
    </w:p>
    <w:p>
      <w:r>
        <w:rPr>
          <w:rFonts w:ascii="Arial" w:hAnsi="Arial" w:eastAsia="Arial"/>
          <w:b w:val="0"/>
          <w:i w:val="0"/>
          <w:color w:val="2A3140"/>
          <w:sz w:val="21"/>
        </w:rPr>
        <w:t>Rates moved up in the quarter. The Federal Reserve raised the fed funds target by 25bp to 3.75%–4.00% on 16 September 2026 [S20]. 1M CME Term SOFR was 3.925% on 9 October 2026 and 12-month Term SOFR 4.472% [S18].</w:t>
      </w:r>
    </w:p>
    <w:p>
      <w:pPr>
        <w:spacing w:before="200"/>
      </w:pPr>
      <w:r>
        <w:rPr>
          <w:rFonts w:ascii="Georgia" w:hAnsi="Georgia" w:eastAsia="Georgia"/>
          <w:b/>
          <w:i w:val="0"/>
          <w:color w:val="1E3A5F"/>
          <w:sz w:val="26"/>
        </w:rPr>
        <w:t>4. Operating history ($000s)</w:t>
      </w:r>
    </w:p>
    <w:p>
      <w:r>
        <w:rPr>
          <w:rFonts w:ascii="Arial" w:hAnsi="Arial" w:eastAsia="Arial"/>
          <w:b w:val="0"/>
          <w:i w:val="0"/>
          <w:color w:val="2A3140"/>
          <w:sz w:val="21"/>
        </w:rPr>
        <w:t>Fiscal years end 31 December. Studio figures are HPP's filed same-store studio results, which cover exactly these three lots; LTM Jun-26 = FY25A + 6M Jun-26 − 6M Jun-25. Office NOI is not disclosed by property; office rent is shown as ABR at each period end. Full detail is in Exhibit 1; quarterly history in Exhibit 2.</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744"/>
        <w:gridCol w:w="936"/>
        <w:gridCol w:w="936"/>
        <w:gridCol w:w="936"/>
        <w:gridCol w:w="936"/>
        <w:gridCol w:w="936"/>
        <w:gridCol w:w="936"/>
      </w:tblGrid>
      <w:tr>
        <w:tc>
          <w:tcPr>
            <w:tcW w:type="dxa" w:w="3744"/>
            <w:shd w:val="clear" w:color="auto" w:fill="E4EAF3"/>
          </w:tcPr>
          <w:p>
            <w:r>
              <w:rPr>
                <w:rFonts w:ascii="Arial" w:hAnsi="Arial" w:eastAsia="Arial"/>
                <w:b/>
                <w:i w:val="0"/>
                <w:color w:val="121826"/>
                <w:sz w:val="17"/>
              </w:rPr>
              <w:t>$000s (100% basis)</w:t>
            </w:r>
          </w:p>
        </w:tc>
        <w:tc>
          <w:tcPr>
            <w:tcW w:type="dxa" w:w="936"/>
            <w:shd w:val="clear" w:color="auto" w:fill="E4EAF3"/>
          </w:tcPr>
          <w:p>
            <w:pPr>
              <w:jc w:val="right"/>
            </w:pPr>
            <w:r>
              <w:rPr>
                <w:rFonts w:ascii="Arial" w:hAnsi="Arial" w:eastAsia="Arial"/>
                <w:b/>
                <w:i w:val="0"/>
                <w:color w:val="121826"/>
                <w:sz w:val="17"/>
              </w:rPr>
              <w:t>FY23A</w:t>
            </w:r>
          </w:p>
        </w:tc>
        <w:tc>
          <w:tcPr>
            <w:tcW w:type="dxa" w:w="936"/>
            <w:shd w:val="clear" w:color="auto" w:fill="E4EAF3"/>
          </w:tcPr>
          <w:p>
            <w:pPr>
              <w:jc w:val="right"/>
            </w:pPr>
            <w:r>
              <w:rPr>
                <w:rFonts w:ascii="Arial" w:hAnsi="Arial" w:eastAsia="Arial"/>
                <w:b/>
                <w:i w:val="0"/>
                <w:color w:val="121826"/>
                <w:sz w:val="17"/>
              </w:rPr>
              <w:t>FY24A</w:t>
            </w:r>
          </w:p>
        </w:tc>
        <w:tc>
          <w:tcPr>
            <w:tcW w:type="dxa" w:w="936"/>
            <w:shd w:val="clear" w:color="auto" w:fill="E4EAF3"/>
          </w:tcPr>
          <w:p>
            <w:pPr>
              <w:jc w:val="right"/>
            </w:pPr>
            <w:r>
              <w:rPr>
                <w:rFonts w:ascii="Arial" w:hAnsi="Arial" w:eastAsia="Arial"/>
                <w:b/>
                <w:i w:val="0"/>
                <w:color w:val="121826"/>
                <w:sz w:val="17"/>
              </w:rPr>
              <w:t>FY25A</w:t>
            </w:r>
          </w:p>
        </w:tc>
        <w:tc>
          <w:tcPr>
            <w:tcW w:type="dxa" w:w="936"/>
            <w:shd w:val="clear" w:color="auto" w:fill="E4EAF3"/>
          </w:tcPr>
          <w:p>
            <w:pPr>
              <w:jc w:val="right"/>
            </w:pPr>
            <w:r>
              <w:rPr>
                <w:rFonts w:ascii="Arial" w:hAnsi="Arial" w:eastAsia="Arial"/>
                <w:b/>
                <w:i w:val="0"/>
                <w:color w:val="121826"/>
                <w:sz w:val="17"/>
              </w:rPr>
              <w:t>6M Jun-25</w:t>
            </w:r>
          </w:p>
        </w:tc>
        <w:tc>
          <w:tcPr>
            <w:tcW w:type="dxa" w:w="936"/>
            <w:shd w:val="clear" w:color="auto" w:fill="E4EAF3"/>
          </w:tcPr>
          <w:p>
            <w:pPr>
              <w:jc w:val="right"/>
            </w:pPr>
            <w:r>
              <w:rPr>
                <w:rFonts w:ascii="Arial" w:hAnsi="Arial" w:eastAsia="Arial"/>
                <w:b/>
                <w:i w:val="0"/>
                <w:color w:val="121826"/>
                <w:sz w:val="17"/>
              </w:rPr>
              <w:t>6M Jun-26</w:t>
            </w:r>
          </w:p>
        </w:tc>
        <w:tc>
          <w:tcPr>
            <w:tcW w:type="dxa" w:w="936"/>
            <w:shd w:val="clear" w:color="auto" w:fill="E4EAF3"/>
          </w:tcPr>
          <w:p>
            <w:pPr>
              <w:jc w:val="right"/>
            </w:pPr>
            <w:r>
              <w:rPr>
                <w:rFonts w:ascii="Arial" w:hAnsi="Arial" w:eastAsia="Arial"/>
                <w:b/>
                <w:i w:val="0"/>
                <w:color w:val="121826"/>
                <w:sz w:val="17"/>
              </w:rPr>
              <w:t>LTM Jun-26</w:t>
            </w:r>
          </w:p>
        </w:tc>
      </w:tr>
      <w:tr>
        <w:tc>
          <w:tcPr>
            <w:tcW w:type="dxa" w:w="3744"/>
          </w:tcPr>
          <w:p>
            <w:r>
              <w:rPr>
                <w:rFonts w:ascii="Arial" w:hAnsi="Arial" w:eastAsia="Arial"/>
                <w:b w:val="0"/>
                <w:i w:val="0"/>
                <w:color w:val="2A3140"/>
                <w:sz w:val="17"/>
              </w:rPr>
              <w:t>Studio rental revenue</w:t>
            </w:r>
          </w:p>
        </w:tc>
        <w:tc>
          <w:tcPr>
            <w:tcW w:type="dxa" w:w="936"/>
          </w:tcPr>
          <w:p>
            <w:pPr>
              <w:jc w:val="right"/>
            </w:pPr>
            <w:r>
              <w:rPr>
                <w:rFonts w:ascii="Arial" w:hAnsi="Arial" w:eastAsia="Arial"/>
                <w:b w:val="0"/>
                <w:i w:val="0"/>
                <w:color w:val="2A3140"/>
                <w:sz w:val="17"/>
              </w:rPr>
              <w:t>48,422</w:t>
            </w:r>
          </w:p>
        </w:tc>
        <w:tc>
          <w:tcPr>
            <w:tcW w:type="dxa" w:w="936"/>
          </w:tcPr>
          <w:p>
            <w:pPr>
              <w:jc w:val="right"/>
            </w:pPr>
            <w:r>
              <w:rPr>
                <w:rFonts w:ascii="Arial" w:hAnsi="Arial" w:eastAsia="Arial"/>
                <w:b w:val="0"/>
                <w:i w:val="0"/>
                <w:color w:val="2A3140"/>
                <w:sz w:val="17"/>
              </w:rPr>
              <w:t>41,733</w:t>
            </w:r>
          </w:p>
        </w:tc>
        <w:tc>
          <w:tcPr>
            <w:tcW w:type="dxa" w:w="936"/>
          </w:tcPr>
          <w:p>
            <w:pPr>
              <w:jc w:val="right"/>
            </w:pPr>
            <w:r>
              <w:rPr>
                <w:rFonts w:ascii="Arial" w:hAnsi="Arial" w:eastAsia="Arial"/>
                <w:b w:val="0"/>
                <w:i w:val="0"/>
                <w:color w:val="2A3140"/>
                <w:sz w:val="17"/>
              </w:rPr>
              <w:t>42,366</w:t>
            </w:r>
          </w:p>
        </w:tc>
        <w:tc>
          <w:tcPr>
            <w:tcW w:type="dxa" w:w="936"/>
          </w:tcPr>
          <w:p>
            <w:pPr>
              <w:jc w:val="right"/>
            </w:pPr>
            <w:r>
              <w:rPr>
                <w:rFonts w:ascii="Arial" w:hAnsi="Arial" w:eastAsia="Arial"/>
                <w:b w:val="0"/>
                <w:i w:val="0"/>
                <w:color w:val="2A3140"/>
                <w:sz w:val="17"/>
              </w:rPr>
              <w:t>20,606</w:t>
            </w:r>
          </w:p>
        </w:tc>
        <w:tc>
          <w:tcPr>
            <w:tcW w:type="dxa" w:w="936"/>
          </w:tcPr>
          <w:p>
            <w:pPr>
              <w:jc w:val="right"/>
            </w:pPr>
            <w:r>
              <w:rPr>
                <w:rFonts w:ascii="Arial" w:hAnsi="Arial" w:eastAsia="Arial"/>
                <w:b w:val="0"/>
                <w:i w:val="0"/>
                <w:color w:val="2A3140"/>
                <w:sz w:val="17"/>
              </w:rPr>
              <w:t>22,194</w:t>
            </w:r>
          </w:p>
        </w:tc>
        <w:tc>
          <w:tcPr>
            <w:tcW w:type="dxa" w:w="936"/>
          </w:tcPr>
          <w:p>
            <w:pPr>
              <w:jc w:val="right"/>
            </w:pPr>
            <w:r>
              <w:rPr>
                <w:rFonts w:ascii="Arial" w:hAnsi="Arial" w:eastAsia="Arial"/>
                <w:b w:val="0"/>
                <w:i w:val="0"/>
                <w:color w:val="2A3140"/>
                <w:sz w:val="17"/>
              </w:rPr>
              <w:t>43,954</w:t>
            </w:r>
          </w:p>
        </w:tc>
      </w:tr>
      <w:tr>
        <w:tc>
          <w:tcPr>
            <w:tcW w:type="dxa" w:w="3744"/>
          </w:tcPr>
          <w:p>
            <w:r>
              <w:rPr>
                <w:rFonts w:ascii="Arial" w:hAnsi="Arial" w:eastAsia="Arial"/>
                <w:b w:val="0"/>
                <w:i w:val="0"/>
                <w:color w:val="2A3140"/>
                <w:sz w:val="17"/>
              </w:rPr>
              <w:t>Studio service and other revenue</w:t>
            </w:r>
          </w:p>
        </w:tc>
        <w:tc>
          <w:tcPr>
            <w:tcW w:type="dxa" w:w="936"/>
          </w:tcPr>
          <w:p>
            <w:pPr>
              <w:jc w:val="right"/>
            </w:pPr>
            <w:r>
              <w:rPr>
                <w:rFonts w:ascii="Arial" w:hAnsi="Arial" w:eastAsia="Arial"/>
                <w:b w:val="0"/>
                <w:i w:val="0"/>
                <w:color w:val="2A3140"/>
                <w:sz w:val="17"/>
              </w:rPr>
              <w:t>21,981</w:t>
            </w:r>
          </w:p>
        </w:tc>
        <w:tc>
          <w:tcPr>
            <w:tcW w:type="dxa" w:w="936"/>
          </w:tcPr>
          <w:p>
            <w:pPr>
              <w:jc w:val="right"/>
            </w:pPr>
            <w:r>
              <w:rPr>
                <w:rFonts w:ascii="Arial" w:hAnsi="Arial" w:eastAsia="Arial"/>
                <w:b w:val="0"/>
                <w:i w:val="0"/>
                <w:color w:val="2A3140"/>
                <w:sz w:val="17"/>
              </w:rPr>
              <w:t>28,440</w:t>
            </w:r>
          </w:p>
        </w:tc>
        <w:tc>
          <w:tcPr>
            <w:tcW w:type="dxa" w:w="936"/>
          </w:tcPr>
          <w:p>
            <w:pPr>
              <w:jc w:val="right"/>
            </w:pPr>
            <w:r>
              <w:rPr>
                <w:rFonts w:ascii="Arial" w:hAnsi="Arial" w:eastAsia="Arial"/>
                <w:b w:val="0"/>
                <w:i w:val="0"/>
                <w:color w:val="2A3140"/>
                <w:sz w:val="17"/>
              </w:rPr>
              <w:t>23,820</w:t>
            </w:r>
          </w:p>
        </w:tc>
        <w:tc>
          <w:tcPr>
            <w:tcW w:type="dxa" w:w="936"/>
          </w:tcPr>
          <w:p>
            <w:pPr>
              <w:jc w:val="right"/>
            </w:pPr>
            <w:r>
              <w:rPr>
                <w:rFonts w:ascii="Arial" w:hAnsi="Arial" w:eastAsia="Arial"/>
                <w:b w:val="0"/>
                <w:i w:val="0"/>
                <w:color w:val="2A3140"/>
                <w:sz w:val="17"/>
              </w:rPr>
              <w:t>12,019</w:t>
            </w:r>
          </w:p>
        </w:tc>
        <w:tc>
          <w:tcPr>
            <w:tcW w:type="dxa" w:w="936"/>
          </w:tcPr>
          <w:p>
            <w:pPr>
              <w:jc w:val="right"/>
            </w:pPr>
            <w:r>
              <w:rPr>
                <w:rFonts w:ascii="Arial" w:hAnsi="Arial" w:eastAsia="Arial"/>
                <w:b w:val="0"/>
                <w:i w:val="0"/>
                <w:color w:val="2A3140"/>
                <w:sz w:val="17"/>
              </w:rPr>
              <w:t>16,930</w:t>
            </w:r>
          </w:p>
        </w:tc>
        <w:tc>
          <w:tcPr>
            <w:tcW w:type="dxa" w:w="936"/>
          </w:tcPr>
          <w:p>
            <w:pPr>
              <w:jc w:val="right"/>
            </w:pPr>
            <w:r>
              <w:rPr>
                <w:rFonts w:ascii="Arial" w:hAnsi="Arial" w:eastAsia="Arial"/>
                <w:b w:val="0"/>
                <w:i w:val="0"/>
                <w:color w:val="2A3140"/>
                <w:sz w:val="17"/>
              </w:rPr>
              <w:t>28,731</w:t>
            </w:r>
          </w:p>
        </w:tc>
      </w:tr>
      <w:tr>
        <w:tc>
          <w:tcPr>
            <w:tcW w:type="dxa" w:w="3744"/>
          </w:tcPr>
          <w:p>
            <w:r>
              <w:rPr>
                <w:rFonts w:ascii="Arial" w:hAnsi="Arial" w:eastAsia="Arial"/>
                <w:b w:val="0"/>
                <w:i w:val="0"/>
                <w:color w:val="2A3140"/>
                <w:sz w:val="17"/>
              </w:rPr>
              <w:t>Total studio revenue</w:t>
            </w:r>
          </w:p>
        </w:tc>
        <w:tc>
          <w:tcPr>
            <w:tcW w:type="dxa" w:w="936"/>
          </w:tcPr>
          <w:p>
            <w:pPr>
              <w:jc w:val="right"/>
            </w:pPr>
            <w:r>
              <w:rPr>
                <w:rFonts w:ascii="Arial" w:hAnsi="Arial" w:eastAsia="Arial"/>
                <w:b w:val="0"/>
                <w:i w:val="0"/>
                <w:color w:val="2A3140"/>
                <w:sz w:val="17"/>
              </w:rPr>
              <w:t>70,403</w:t>
            </w:r>
          </w:p>
        </w:tc>
        <w:tc>
          <w:tcPr>
            <w:tcW w:type="dxa" w:w="936"/>
          </w:tcPr>
          <w:p>
            <w:pPr>
              <w:jc w:val="right"/>
            </w:pPr>
            <w:r>
              <w:rPr>
                <w:rFonts w:ascii="Arial" w:hAnsi="Arial" w:eastAsia="Arial"/>
                <w:b w:val="0"/>
                <w:i w:val="0"/>
                <w:color w:val="2A3140"/>
                <w:sz w:val="17"/>
              </w:rPr>
              <w:t>70,173</w:t>
            </w:r>
          </w:p>
        </w:tc>
        <w:tc>
          <w:tcPr>
            <w:tcW w:type="dxa" w:w="936"/>
          </w:tcPr>
          <w:p>
            <w:pPr>
              <w:jc w:val="right"/>
            </w:pPr>
            <w:r>
              <w:rPr>
                <w:rFonts w:ascii="Arial" w:hAnsi="Arial" w:eastAsia="Arial"/>
                <w:b w:val="0"/>
                <w:i w:val="0"/>
                <w:color w:val="2A3140"/>
                <w:sz w:val="17"/>
              </w:rPr>
              <w:t>66,186</w:t>
            </w:r>
          </w:p>
        </w:tc>
        <w:tc>
          <w:tcPr>
            <w:tcW w:type="dxa" w:w="936"/>
          </w:tcPr>
          <w:p>
            <w:pPr>
              <w:jc w:val="right"/>
            </w:pPr>
            <w:r>
              <w:rPr>
                <w:rFonts w:ascii="Arial" w:hAnsi="Arial" w:eastAsia="Arial"/>
                <w:b w:val="0"/>
                <w:i w:val="0"/>
                <w:color w:val="2A3140"/>
                <w:sz w:val="17"/>
              </w:rPr>
              <w:t>32,625</w:t>
            </w:r>
          </w:p>
        </w:tc>
        <w:tc>
          <w:tcPr>
            <w:tcW w:type="dxa" w:w="936"/>
          </w:tcPr>
          <w:p>
            <w:pPr>
              <w:jc w:val="right"/>
            </w:pPr>
            <w:r>
              <w:rPr>
                <w:rFonts w:ascii="Arial" w:hAnsi="Arial" w:eastAsia="Arial"/>
                <w:b w:val="0"/>
                <w:i w:val="0"/>
                <w:color w:val="2A3140"/>
                <w:sz w:val="17"/>
              </w:rPr>
              <w:t>39,124</w:t>
            </w:r>
          </w:p>
        </w:tc>
        <w:tc>
          <w:tcPr>
            <w:tcW w:type="dxa" w:w="936"/>
          </w:tcPr>
          <w:p>
            <w:pPr>
              <w:jc w:val="right"/>
            </w:pPr>
            <w:r>
              <w:rPr>
                <w:rFonts w:ascii="Arial" w:hAnsi="Arial" w:eastAsia="Arial"/>
                <w:b w:val="0"/>
                <w:i w:val="0"/>
                <w:color w:val="2A3140"/>
                <w:sz w:val="17"/>
              </w:rPr>
              <w:t>72,685</w:t>
            </w:r>
          </w:p>
        </w:tc>
      </w:tr>
      <w:tr>
        <w:tc>
          <w:tcPr>
            <w:tcW w:type="dxa" w:w="3744"/>
          </w:tcPr>
          <w:p>
            <w:r>
              <w:rPr>
                <w:rFonts w:ascii="Arial" w:hAnsi="Arial" w:eastAsia="Arial"/>
                <w:b w:val="0"/>
                <w:i w:val="0"/>
                <w:color w:val="2A3140"/>
                <w:sz w:val="17"/>
              </w:rPr>
              <w:t>(−) Studio operating expenses</w:t>
            </w:r>
          </w:p>
        </w:tc>
        <w:tc>
          <w:tcPr>
            <w:tcW w:type="dxa" w:w="936"/>
          </w:tcPr>
          <w:p>
            <w:pPr>
              <w:jc w:val="right"/>
            </w:pPr>
            <w:r>
              <w:rPr>
                <w:rFonts w:ascii="Arial" w:hAnsi="Arial" w:eastAsia="Arial"/>
                <w:b w:val="0"/>
                <w:i w:val="0"/>
                <w:color w:val="2A3140"/>
                <w:sz w:val="17"/>
              </w:rPr>
              <w:t>41,160</w:t>
            </w:r>
          </w:p>
        </w:tc>
        <w:tc>
          <w:tcPr>
            <w:tcW w:type="dxa" w:w="936"/>
          </w:tcPr>
          <w:p>
            <w:pPr>
              <w:jc w:val="right"/>
            </w:pPr>
            <w:r>
              <w:rPr>
                <w:rFonts w:ascii="Arial" w:hAnsi="Arial" w:eastAsia="Arial"/>
                <w:b w:val="0"/>
                <w:i w:val="0"/>
                <w:color w:val="2A3140"/>
                <w:sz w:val="17"/>
              </w:rPr>
              <w:t>45,437</w:t>
            </w:r>
          </w:p>
        </w:tc>
        <w:tc>
          <w:tcPr>
            <w:tcW w:type="dxa" w:w="936"/>
          </w:tcPr>
          <w:p>
            <w:pPr>
              <w:jc w:val="right"/>
            </w:pPr>
            <w:r>
              <w:rPr>
                <w:rFonts w:ascii="Arial" w:hAnsi="Arial" w:eastAsia="Arial"/>
                <w:b w:val="0"/>
                <w:i w:val="0"/>
                <w:color w:val="2A3140"/>
                <w:sz w:val="17"/>
              </w:rPr>
              <w:t>43,336</w:t>
            </w:r>
          </w:p>
        </w:tc>
        <w:tc>
          <w:tcPr>
            <w:tcW w:type="dxa" w:w="936"/>
          </w:tcPr>
          <w:p>
            <w:pPr>
              <w:jc w:val="right"/>
            </w:pPr>
            <w:r>
              <w:rPr>
                <w:rFonts w:ascii="Arial" w:hAnsi="Arial" w:eastAsia="Arial"/>
                <w:b w:val="0"/>
                <w:i w:val="0"/>
                <w:color w:val="2A3140"/>
                <w:sz w:val="17"/>
              </w:rPr>
              <w:t>21,581</w:t>
            </w:r>
          </w:p>
        </w:tc>
        <w:tc>
          <w:tcPr>
            <w:tcW w:type="dxa" w:w="936"/>
          </w:tcPr>
          <w:p>
            <w:pPr>
              <w:jc w:val="right"/>
            </w:pPr>
            <w:r>
              <w:rPr>
                <w:rFonts w:ascii="Arial" w:hAnsi="Arial" w:eastAsia="Arial"/>
                <w:b w:val="0"/>
                <w:i w:val="0"/>
                <w:color w:val="2A3140"/>
                <w:sz w:val="17"/>
              </w:rPr>
              <w:t>24,339</w:t>
            </w:r>
          </w:p>
        </w:tc>
        <w:tc>
          <w:tcPr>
            <w:tcW w:type="dxa" w:w="936"/>
          </w:tcPr>
          <w:p>
            <w:pPr>
              <w:jc w:val="right"/>
            </w:pPr>
            <w:r>
              <w:rPr>
                <w:rFonts w:ascii="Arial" w:hAnsi="Arial" w:eastAsia="Arial"/>
                <w:b w:val="0"/>
                <w:i w:val="0"/>
                <w:color w:val="2A3140"/>
                <w:sz w:val="17"/>
              </w:rPr>
              <w:t>46,094</w:t>
            </w:r>
          </w:p>
        </w:tc>
      </w:tr>
      <w:tr>
        <w:tc>
          <w:tcPr>
            <w:tcW w:type="dxa" w:w="3744"/>
          </w:tcPr>
          <w:p>
            <w:r>
              <w:rPr>
                <w:rFonts w:ascii="Arial" w:hAnsi="Arial" w:eastAsia="Arial"/>
                <w:b w:val="0"/>
                <w:i w:val="0"/>
                <w:color w:val="2A3140"/>
                <w:sz w:val="17"/>
              </w:rPr>
              <w:t>Studio NOI</w:t>
            </w:r>
          </w:p>
        </w:tc>
        <w:tc>
          <w:tcPr>
            <w:tcW w:type="dxa" w:w="936"/>
          </w:tcPr>
          <w:p>
            <w:pPr>
              <w:jc w:val="right"/>
            </w:pPr>
            <w:r>
              <w:rPr>
                <w:rFonts w:ascii="Arial" w:hAnsi="Arial" w:eastAsia="Arial"/>
                <w:b w:val="0"/>
                <w:i w:val="0"/>
                <w:color w:val="2A3140"/>
                <w:sz w:val="17"/>
              </w:rPr>
              <w:t>29,243</w:t>
            </w:r>
          </w:p>
        </w:tc>
        <w:tc>
          <w:tcPr>
            <w:tcW w:type="dxa" w:w="936"/>
          </w:tcPr>
          <w:p>
            <w:pPr>
              <w:jc w:val="right"/>
            </w:pPr>
            <w:r>
              <w:rPr>
                <w:rFonts w:ascii="Arial" w:hAnsi="Arial" w:eastAsia="Arial"/>
                <w:b w:val="0"/>
                <w:i w:val="0"/>
                <w:color w:val="2A3140"/>
                <w:sz w:val="17"/>
              </w:rPr>
              <w:t>24,736</w:t>
            </w:r>
          </w:p>
        </w:tc>
        <w:tc>
          <w:tcPr>
            <w:tcW w:type="dxa" w:w="936"/>
          </w:tcPr>
          <w:p>
            <w:pPr>
              <w:jc w:val="right"/>
            </w:pPr>
            <w:r>
              <w:rPr>
                <w:rFonts w:ascii="Arial" w:hAnsi="Arial" w:eastAsia="Arial"/>
                <w:b w:val="0"/>
                <w:i w:val="0"/>
                <w:color w:val="2A3140"/>
                <w:sz w:val="17"/>
              </w:rPr>
              <w:t>22,850</w:t>
            </w:r>
          </w:p>
        </w:tc>
        <w:tc>
          <w:tcPr>
            <w:tcW w:type="dxa" w:w="936"/>
          </w:tcPr>
          <w:p>
            <w:pPr>
              <w:jc w:val="right"/>
            </w:pPr>
            <w:r>
              <w:rPr>
                <w:rFonts w:ascii="Arial" w:hAnsi="Arial" w:eastAsia="Arial"/>
                <w:b w:val="0"/>
                <w:i w:val="0"/>
                <w:color w:val="2A3140"/>
                <w:sz w:val="17"/>
              </w:rPr>
              <w:t>11,044</w:t>
            </w:r>
          </w:p>
        </w:tc>
        <w:tc>
          <w:tcPr>
            <w:tcW w:type="dxa" w:w="936"/>
          </w:tcPr>
          <w:p>
            <w:pPr>
              <w:jc w:val="right"/>
            </w:pPr>
            <w:r>
              <w:rPr>
                <w:rFonts w:ascii="Arial" w:hAnsi="Arial" w:eastAsia="Arial"/>
                <w:b w:val="0"/>
                <w:i w:val="0"/>
                <w:color w:val="2A3140"/>
                <w:sz w:val="17"/>
              </w:rPr>
              <w:t>14,785</w:t>
            </w:r>
          </w:p>
        </w:tc>
        <w:tc>
          <w:tcPr>
            <w:tcW w:type="dxa" w:w="936"/>
          </w:tcPr>
          <w:p>
            <w:pPr>
              <w:jc w:val="right"/>
            </w:pPr>
            <w:r>
              <w:rPr>
                <w:rFonts w:ascii="Arial" w:hAnsi="Arial" w:eastAsia="Arial"/>
                <w:b w:val="0"/>
                <w:i w:val="0"/>
                <w:color w:val="2A3140"/>
                <w:sz w:val="17"/>
              </w:rPr>
              <w:t>26,591</w:t>
            </w:r>
          </w:p>
        </w:tc>
      </w:tr>
      <w:tr>
        <w:tc>
          <w:tcPr>
            <w:tcW w:type="dxa" w:w="3744"/>
          </w:tcPr>
          <w:p>
            <w:r>
              <w:rPr>
                <w:rFonts w:ascii="Arial" w:hAnsi="Arial" w:eastAsia="Arial"/>
                <w:b w:val="0"/>
                <w:i w:val="0"/>
                <w:color w:val="2A3140"/>
                <w:sz w:val="17"/>
              </w:rPr>
              <w:t>Studio average % leased (trailing 12 months)</w:t>
            </w:r>
          </w:p>
        </w:tc>
        <w:tc>
          <w:tcPr>
            <w:tcW w:type="dxa" w:w="936"/>
          </w:tcPr>
          <w:p>
            <w:pPr>
              <w:jc w:val="right"/>
            </w:pPr>
            <w:r>
              <w:rPr>
                <w:rFonts w:ascii="Arial" w:hAnsi="Arial" w:eastAsia="Arial"/>
                <w:b w:val="0"/>
                <w:i w:val="0"/>
                <w:color w:val="2A3140"/>
                <w:sz w:val="17"/>
              </w:rPr>
              <w:t>80.4%</w:t>
            </w:r>
          </w:p>
        </w:tc>
        <w:tc>
          <w:tcPr>
            <w:tcW w:type="dxa" w:w="936"/>
          </w:tcPr>
          <w:p>
            <w:pPr>
              <w:jc w:val="right"/>
            </w:pPr>
            <w:r>
              <w:rPr>
                <w:rFonts w:ascii="Arial" w:hAnsi="Arial" w:eastAsia="Arial"/>
                <w:b w:val="0"/>
                <w:i w:val="0"/>
                <w:color w:val="2A3140"/>
                <w:sz w:val="17"/>
              </w:rPr>
              <w:t>73.8%</w:t>
            </w:r>
          </w:p>
        </w:tc>
        <w:tc>
          <w:tcPr>
            <w:tcW w:type="dxa" w:w="936"/>
          </w:tcPr>
          <w:p>
            <w:pPr>
              <w:jc w:val="right"/>
            </w:pPr>
            <w:r>
              <w:rPr>
                <w:rFonts w:ascii="Arial" w:hAnsi="Arial" w:eastAsia="Arial"/>
                <w:b w:val="0"/>
                <w:i w:val="0"/>
                <w:color w:val="2A3140"/>
                <w:sz w:val="17"/>
              </w:rPr>
              <w:t>78.8%</w:t>
            </w:r>
          </w:p>
        </w:tc>
        <w:tc>
          <w:tcPr>
            <w:tcW w:type="dxa" w:w="936"/>
          </w:tcPr>
          <w:p>
            <w:pPr>
              <w:jc w:val="right"/>
            </w:pPr>
            <w:r>
              <w:rPr>
                <w:rFonts w:ascii="Arial" w:hAnsi="Arial" w:eastAsia="Arial"/>
                <w:b w:val="0"/>
                <w:i w:val="0"/>
                <w:color w:val="2A3140"/>
                <w:sz w:val="17"/>
              </w:rPr>
              <w:t>74.3%</w:t>
            </w:r>
          </w:p>
        </w:tc>
        <w:tc>
          <w:tcPr>
            <w:tcW w:type="dxa" w:w="936"/>
          </w:tcPr>
          <w:p>
            <w:pPr>
              <w:jc w:val="right"/>
            </w:pPr>
            <w:r>
              <w:rPr>
                <w:rFonts w:ascii="Arial" w:hAnsi="Arial" w:eastAsia="Arial"/>
                <w:b w:val="0"/>
                <w:i w:val="0"/>
                <w:color w:val="2A3140"/>
                <w:sz w:val="17"/>
              </w:rPr>
              <w:t>83.5%</w:t>
            </w:r>
          </w:p>
        </w:tc>
        <w:tc>
          <w:tcPr>
            <w:tcW w:type="dxa" w:w="936"/>
          </w:tcPr>
          <w:p>
            <w:pPr>
              <w:jc w:val="right"/>
            </w:pPr>
            <w:r>
              <w:rPr>
                <w:rFonts w:ascii="Arial" w:hAnsi="Arial" w:eastAsia="Arial"/>
                <w:b w:val="0"/>
                <w:i w:val="0"/>
                <w:color w:val="2A3140"/>
                <w:sz w:val="17"/>
              </w:rPr>
              <w:t>83.5%</w:t>
            </w:r>
          </w:p>
        </w:tc>
      </w:tr>
      <w:tr>
        <w:tc>
          <w:tcPr>
            <w:tcW w:type="dxa" w:w="3744"/>
          </w:tcPr>
          <w:p>
            <w:r>
              <w:rPr>
                <w:rFonts w:ascii="Arial" w:hAnsi="Arial" w:eastAsia="Arial"/>
                <w:b w:val="0"/>
                <w:i w:val="0"/>
                <w:color w:val="2A3140"/>
                <w:sz w:val="17"/>
              </w:rPr>
              <w:t>Office ABR at period end</w:t>
            </w:r>
          </w:p>
        </w:tc>
        <w:tc>
          <w:tcPr>
            <w:tcW w:type="dxa" w:w="936"/>
          </w:tcPr>
          <w:p>
            <w:pPr>
              <w:jc w:val="right"/>
            </w:pPr>
            <w:r>
              <w:rPr>
                <w:rFonts w:ascii="Arial" w:hAnsi="Arial" w:eastAsia="Arial"/>
                <w:b w:val="0"/>
                <w:i w:val="0"/>
                <w:color w:val="2A3140"/>
                <w:sz w:val="17"/>
              </w:rPr>
              <w:t>65,008</w:t>
            </w:r>
          </w:p>
        </w:tc>
        <w:tc>
          <w:tcPr>
            <w:tcW w:type="dxa" w:w="936"/>
          </w:tcPr>
          <w:p>
            <w:pPr>
              <w:jc w:val="right"/>
            </w:pPr>
            <w:r>
              <w:rPr>
                <w:rFonts w:ascii="Arial" w:hAnsi="Arial" w:eastAsia="Arial"/>
                <w:b w:val="0"/>
                <w:i w:val="0"/>
                <w:color w:val="2A3140"/>
                <w:sz w:val="17"/>
              </w:rPr>
              <w:t>66,954</w:t>
            </w:r>
          </w:p>
        </w:tc>
        <w:tc>
          <w:tcPr>
            <w:tcW w:type="dxa" w:w="936"/>
          </w:tcPr>
          <w:p>
            <w:pPr>
              <w:jc w:val="right"/>
            </w:pPr>
            <w:r>
              <w:rPr>
                <w:rFonts w:ascii="Arial" w:hAnsi="Arial" w:eastAsia="Arial"/>
                <w:b w:val="0"/>
                <w:i w:val="0"/>
                <w:color w:val="2A3140"/>
                <w:sz w:val="17"/>
              </w:rPr>
              <w:t>62,521</w:t>
            </w:r>
          </w:p>
        </w:tc>
        <w:tc>
          <w:tcPr>
            <w:tcW w:type="dxa" w:w="936"/>
          </w:tcPr>
          <w:p>
            <w:pPr>
              <w:jc w:val="right"/>
            </w:pPr>
            <w:r>
              <w:rPr>
                <w:rFonts w:ascii="Arial" w:hAnsi="Arial" w:eastAsia="Arial"/>
                <w:b w:val="0"/>
                <w:i w:val="0"/>
                <w:color w:val="2A3140"/>
                <w:sz w:val="17"/>
              </w:rPr>
              <w:t>68,514</w:t>
            </w:r>
          </w:p>
        </w:tc>
        <w:tc>
          <w:tcPr>
            <w:tcW w:type="dxa" w:w="936"/>
          </w:tcPr>
          <w:p>
            <w:pPr>
              <w:jc w:val="right"/>
            </w:pPr>
            <w:r>
              <w:rPr>
                <w:rFonts w:ascii="Arial" w:hAnsi="Arial" w:eastAsia="Arial"/>
                <w:b w:val="0"/>
                <w:i w:val="0"/>
                <w:color w:val="2A3140"/>
                <w:sz w:val="17"/>
              </w:rPr>
              <w:t>63,046</w:t>
            </w:r>
          </w:p>
        </w:tc>
        <w:tc>
          <w:tcPr>
            <w:tcW w:type="dxa" w:w="936"/>
          </w:tcPr>
          <w:p>
            <w:pPr>
              <w:jc w:val="right"/>
            </w:pPr>
            <w:r>
              <w:rPr>
                <w:rFonts w:ascii="Arial" w:hAnsi="Arial" w:eastAsia="Arial"/>
                <w:b w:val="0"/>
                <w:i w:val="0"/>
                <w:color w:val="2A3140"/>
                <w:sz w:val="17"/>
              </w:rPr>
              <w:t>63,046</w:t>
            </w:r>
          </w:p>
        </w:tc>
      </w:tr>
      <w:tr>
        <w:tc>
          <w:tcPr>
            <w:tcW w:type="dxa" w:w="3744"/>
          </w:tcPr>
          <w:p>
            <w:r>
              <w:rPr>
                <w:rFonts w:ascii="Arial" w:hAnsi="Arial" w:eastAsia="Arial"/>
                <w:b w:val="0"/>
                <w:i w:val="0"/>
                <w:color w:val="2A3140"/>
                <w:sz w:val="17"/>
              </w:rPr>
              <w:t>In-service office sq ft at period end</w:t>
            </w:r>
          </w:p>
        </w:tc>
        <w:tc>
          <w:tcPr>
            <w:tcW w:type="dxa" w:w="936"/>
          </w:tcPr>
          <w:p>
            <w:pPr>
              <w:jc w:val="right"/>
            </w:pPr>
            <w:r>
              <w:rPr>
                <w:rFonts w:ascii="Arial" w:hAnsi="Arial" w:eastAsia="Arial"/>
                <w:b w:val="0"/>
                <w:i w:val="0"/>
                <w:color w:val="2A3140"/>
                <w:sz w:val="17"/>
              </w:rPr>
              <w:t>967,194</w:t>
            </w:r>
          </w:p>
        </w:tc>
        <w:tc>
          <w:tcPr>
            <w:tcW w:type="dxa" w:w="936"/>
          </w:tcPr>
          <w:p>
            <w:pPr>
              <w:jc w:val="right"/>
            </w:pPr>
            <w:r>
              <w:rPr>
                <w:rFonts w:ascii="Arial" w:hAnsi="Arial" w:eastAsia="Arial"/>
                <w:b w:val="0"/>
                <w:i w:val="0"/>
                <w:color w:val="2A3140"/>
                <w:sz w:val="17"/>
              </w:rPr>
              <w:t>967,194</w:t>
            </w:r>
          </w:p>
        </w:tc>
        <w:tc>
          <w:tcPr>
            <w:tcW w:type="dxa" w:w="936"/>
          </w:tcPr>
          <w:p>
            <w:pPr>
              <w:jc w:val="right"/>
            </w:pPr>
            <w:r>
              <w:rPr>
                <w:rFonts w:ascii="Arial" w:hAnsi="Arial" w:eastAsia="Arial"/>
                <w:b w:val="0"/>
                <w:i w:val="0"/>
                <w:color w:val="2A3140"/>
                <w:sz w:val="17"/>
              </w:rPr>
              <w:t>967,194</w:t>
            </w:r>
          </w:p>
        </w:tc>
        <w:tc>
          <w:tcPr>
            <w:tcW w:type="dxa" w:w="936"/>
          </w:tcPr>
          <w:p>
            <w:pPr>
              <w:jc w:val="right"/>
            </w:pPr>
            <w:r>
              <w:rPr>
                <w:rFonts w:ascii="Arial" w:hAnsi="Arial" w:eastAsia="Arial"/>
                <w:b w:val="0"/>
                <w:i w:val="0"/>
                <w:color w:val="2A3140"/>
                <w:sz w:val="17"/>
              </w:rPr>
              <w:t>967,194</w:t>
            </w:r>
          </w:p>
        </w:tc>
        <w:tc>
          <w:tcPr>
            <w:tcW w:type="dxa" w:w="936"/>
          </w:tcPr>
          <w:p>
            <w:pPr>
              <w:jc w:val="right"/>
            </w:pPr>
            <w:r>
              <w:rPr>
                <w:rFonts w:ascii="Arial" w:hAnsi="Arial" w:eastAsia="Arial"/>
                <w:b w:val="0"/>
                <w:i w:val="0"/>
                <w:color w:val="2A3140"/>
                <w:sz w:val="17"/>
              </w:rPr>
              <w:t>852,236</w:t>
            </w:r>
          </w:p>
        </w:tc>
        <w:tc>
          <w:tcPr>
            <w:tcW w:type="dxa" w:w="936"/>
          </w:tcPr>
          <w:p>
            <w:pPr>
              <w:jc w:val="right"/>
            </w:pPr>
            <w:r>
              <w:rPr>
                <w:rFonts w:ascii="Arial" w:hAnsi="Arial" w:eastAsia="Arial"/>
                <w:b w:val="0"/>
                <w:i w:val="0"/>
                <w:color w:val="2A3140"/>
                <w:sz w:val="17"/>
              </w:rPr>
              <w:t>852,236</w:t>
            </w:r>
          </w:p>
        </w:tc>
      </w:tr>
    </w:tbl>
    <w:p>
      <w:pPr>
        <w:spacing w:after="40"/>
      </w:pPr>
    </w:p>
    <w:p>
      <w:r>
        <w:rPr>
          <w:rFonts w:ascii="Arial" w:hAnsi="Arial" w:eastAsia="Arial"/>
          <w:b w:val="0"/>
          <w:i/>
          <w:color w:val="5B6475"/>
          <w:sz w:val="16"/>
        </w:rPr>
        <w:t>Source: HPP 10-K FY2023–FY2025 and 10-Q Q2-2026 [S1,S3–S5]; HPP supplementals [S2,S10]; IC Simulator analysis.</w:t>
      </w:r>
    </w:p>
    <w:p>
      <w:r>
        <w:rPr>
          <w:rFonts w:ascii="Arial" w:hAnsi="Arial" w:eastAsia="Arial"/>
          <w:b w:val="0"/>
          <w:i w:val="0"/>
          <w:color w:val="2A3140"/>
          <w:sz w:val="21"/>
        </w:rPr>
        <w:t>Servicer-reported net cash flow (NCF) for the whole portfolio, as quoted by Morningstar DBRS, was $99.6M at issuance in 2021, $68.5M for 2024 and $72.6M annualised for the nine months to September 2025 [S11]. Exhibit 4 sets out a bottom-up NCF estimate built from HPP's filings, with each assumption labelled, next to these third-party figures.</w:t>
      </w:r>
    </w:p>
    <w:p>
      <w:pPr>
        <w:spacing w:before="200"/>
      </w:pPr>
      <w:r>
        <w:rPr>
          <w:rFonts w:ascii="Georgia" w:hAnsi="Georgia" w:eastAsia="Georgia"/>
          <w:b/>
          <w:i w:val="0"/>
          <w:color w:val="1E3A5F"/>
          <w:sz w:val="26"/>
        </w:rPr>
        <w:t>5. Sources and uses and pro forma capitalisation</w:t>
      </w:r>
    </w:p>
    <w:p>
      <w:r>
        <w:rPr>
          <w:rFonts w:ascii="Arial" w:hAnsi="Arial" w:eastAsia="Arial"/>
          <w:b w:val="0"/>
          <w:i w:val="0"/>
          <w:color w:val="2A3140"/>
          <w:sz w:val="21"/>
        </w:rPr>
        <w:t>Sources and uses at closing (HYPOTHETICAL; Exhibit 5, section D):</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432"/>
        <w:gridCol w:w="858"/>
        <w:gridCol w:w="4212"/>
        <w:gridCol w:w="858"/>
      </w:tblGrid>
      <w:tr>
        <w:tc>
          <w:tcPr>
            <w:tcW w:type="dxa" w:w="3432"/>
            <w:shd w:val="clear" w:color="auto" w:fill="E4EAF3"/>
          </w:tcPr>
          <w:p>
            <w:r>
              <w:rPr>
                <w:rFonts w:ascii="Arial" w:hAnsi="Arial" w:eastAsia="Arial"/>
                <w:b/>
                <w:i w:val="0"/>
                <w:color w:val="121826"/>
                <w:sz w:val="17"/>
              </w:rPr>
              <w:t>Sources</w:t>
            </w:r>
          </w:p>
        </w:tc>
        <w:tc>
          <w:tcPr>
            <w:tcW w:type="dxa" w:w="858"/>
            <w:shd w:val="clear" w:color="auto" w:fill="E4EAF3"/>
          </w:tcPr>
          <w:p>
            <w:pPr>
              <w:jc w:val="right"/>
            </w:pPr>
            <w:r>
              <w:rPr>
                <w:rFonts w:ascii="Arial" w:hAnsi="Arial" w:eastAsia="Arial"/>
                <w:b/>
                <w:i w:val="0"/>
                <w:color w:val="121826"/>
                <w:sz w:val="17"/>
              </w:rPr>
              <w:t>$000s</w:t>
            </w:r>
          </w:p>
        </w:tc>
        <w:tc>
          <w:tcPr>
            <w:tcW w:type="dxa" w:w="4212"/>
            <w:shd w:val="clear" w:color="auto" w:fill="E4EAF3"/>
          </w:tcPr>
          <w:p>
            <w:pPr>
              <w:jc w:val="right"/>
            </w:pPr>
            <w:r>
              <w:rPr>
                <w:rFonts w:ascii="Arial" w:hAnsi="Arial" w:eastAsia="Arial"/>
                <w:b/>
                <w:i w:val="0"/>
                <w:color w:val="121826"/>
                <w:sz w:val="17"/>
              </w:rPr>
              <w:t>Uses</w:t>
            </w:r>
          </w:p>
        </w:tc>
        <w:tc>
          <w:tcPr>
            <w:tcW w:type="dxa" w:w="858"/>
            <w:shd w:val="clear" w:color="auto" w:fill="E4EAF3"/>
          </w:tcPr>
          <w:p>
            <w:pPr>
              <w:jc w:val="right"/>
            </w:pPr>
            <w:r>
              <w:rPr>
                <w:rFonts w:ascii="Arial" w:hAnsi="Arial" w:eastAsia="Arial"/>
                <w:b/>
                <w:i w:val="0"/>
                <w:color w:val="121826"/>
                <w:sz w:val="17"/>
              </w:rPr>
              <w:t>$000s</w:t>
            </w:r>
          </w:p>
        </w:tc>
      </w:tr>
      <w:tr>
        <w:tc>
          <w:tcPr>
            <w:tcW w:type="dxa" w:w="3432"/>
          </w:tcPr>
          <w:p>
            <w:r>
              <w:rPr>
                <w:rFonts w:ascii="Arial" w:hAnsi="Arial" w:eastAsia="Arial"/>
                <w:b w:val="0"/>
                <w:i w:val="0"/>
                <w:color w:val="2A3140"/>
                <w:sz w:val="17"/>
              </w:rPr>
              <w:t>New senior mortgage loan</w:t>
            </w:r>
          </w:p>
        </w:tc>
        <w:tc>
          <w:tcPr>
            <w:tcW w:type="dxa" w:w="858"/>
          </w:tcPr>
          <w:p>
            <w:pPr>
              <w:jc w:val="right"/>
            </w:pPr>
            <w:r>
              <w:rPr>
                <w:rFonts w:ascii="Arial" w:hAnsi="Arial" w:eastAsia="Arial"/>
                <w:b w:val="0"/>
                <w:i w:val="0"/>
                <w:color w:val="2A3140"/>
                <w:sz w:val="17"/>
              </w:rPr>
              <w:t>1,100,000</w:t>
            </w:r>
          </w:p>
        </w:tc>
        <w:tc>
          <w:tcPr>
            <w:tcW w:type="dxa" w:w="4212"/>
          </w:tcPr>
          <w:p>
            <w:r>
              <w:rPr>
                <w:rFonts w:ascii="Arial" w:hAnsi="Arial" w:eastAsia="Arial"/>
                <w:b w:val="0"/>
                <w:i w:val="0"/>
                <w:color w:val="2A3140"/>
                <w:sz w:val="17"/>
              </w:rPr>
              <w:t>Repay BXHPP 2021-FILM at par</w:t>
            </w:r>
          </w:p>
        </w:tc>
        <w:tc>
          <w:tcPr>
            <w:tcW w:type="dxa" w:w="858"/>
          </w:tcPr>
          <w:p>
            <w:pPr>
              <w:jc w:val="right"/>
            </w:pPr>
            <w:r>
              <w:rPr>
                <w:rFonts w:ascii="Arial" w:hAnsi="Arial" w:eastAsia="Arial"/>
                <w:b w:val="0"/>
                <w:i w:val="0"/>
                <w:color w:val="2A3140"/>
                <w:sz w:val="17"/>
              </w:rPr>
              <w:t>1,100,000</w:t>
            </w:r>
          </w:p>
        </w:tc>
      </w:tr>
      <w:tr>
        <w:tc>
          <w:tcPr>
            <w:tcW w:type="dxa" w:w="3432"/>
          </w:tcPr>
          <w:p>
            <w:r>
              <w:rPr>
                <w:rFonts w:ascii="Arial" w:hAnsi="Arial" w:eastAsia="Arial"/>
                <w:b w:val="0"/>
                <w:i w:val="0"/>
                <w:color w:val="2A3140"/>
                <w:sz w:val="17"/>
              </w:rPr>
              <w:t>Release of existing leasing reserve (assumed fully funded)</w:t>
            </w:r>
          </w:p>
        </w:tc>
        <w:tc>
          <w:tcPr>
            <w:tcW w:type="dxa" w:w="858"/>
          </w:tcPr>
          <w:p>
            <w:pPr>
              <w:jc w:val="right"/>
            </w:pPr>
            <w:r>
              <w:rPr>
                <w:rFonts w:ascii="Arial" w:hAnsi="Arial" w:eastAsia="Arial"/>
                <w:b w:val="0"/>
                <w:i w:val="0"/>
                <w:color w:val="2A3140"/>
                <w:sz w:val="17"/>
              </w:rPr>
              <w:t>20,000</w:t>
            </w:r>
          </w:p>
        </w:tc>
        <w:tc>
          <w:tcPr>
            <w:tcW w:type="dxa" w:w="4212"/>
          </w:tcPr>
          <w:p>
            <w:r>
              <w:rPr>
                <w:rFonts w:ascii="Arial" w:hAnsi="Arial" w:eastAsia="Arial"/>
                <w:b w:val="0"/>
                <w:i w:val="0"/>
                <w:color w:val="2A3140"/>
                <w:sz w:val="17"/>
              </w:rPr>
              <w:t>Fund new TI/LC reserve</w:t>
            </w:r>
          </w:p>
        </w:tc>
        <w:tc>
          <w:tcPr>
            <w:tcW w:type="dxa" w:w="858"/>
          </w:tcPr>
          <w:p>
            <w:pPr>
              <w:jc w:val="right"/>
            </w:pPr>
            <w:r>
              <w:rPr>
                <w:rFonts w:ascii="Arial" w:hAnsi="Arial" w:eastAsia="Arial"/>
                <w:b w:val="0"/>
                <w:i w:val="0"/>
                <w:color w:val="2A3140"/>
                <w:sz w:val="17"/>
              </w:rPr>
              <w:t>20,000</w:t>
            </w:r>
          </w:p>
        </w:tc>
      </w:tr>
      <w:tr>
        <w:tc>
          <w:tcPr>
            <w:tcW w:type="dxa" w:w="3432"/>
          </w:tcPr>
          <w:p>
            <w:r>
              <w:rPr>
                <w:rFonts w:ascii="Arial" w:hAnsi="Arial" w:eastAsia="Arial"/>
                <w:b w:val="0"/>
                <w:i w:val="0"/>
                <w:color w:val="2A3140"/>
                <w:sz w:val="17"/>
              </w:rPr>
              <w:t>Joint-venture cash equity</w:t>
            </w:r>
          </w:p>
        </w:tc>
        <w:tc>
          <w:tcPr>
            <w:tcW w:type="dxa" w:w="858"/>
          </w:tcPr>
          <w:p>
            <w:pPr>
              <w:jc w:val="right"/>
            </w:pPr>
            <w:r>
              <w:rPr>
                <w:rFonts w:ascii="Arial" w:hAnsi="Arial" w:eastAsia="Arial"/>
                <w:b w:val="0"/>
                <w:i w:val="0"/>
                <w:color w:val="2A3140"/>
                <w:sz w:val="17"/>
              </w:rPr>
              <w:t>21,500</w:t>
            </w:r>
          </w:p>
        </w:tc>
        <w:tc>
          <w:tcPr>
            <w:tcW w:type="dxa" w:w="4212"/>
          </w:tcPr>
          <w:p>
            <w:r>
              <w:rPr>
                <w:rFonts w:ascii="Arial" w:hAnsi="Arial" w:eastAsia="Arial"/>
                <w:b w:val="0"/>
                <w:i w:val="0"/>
                <w:color w:val="2A3140"/>
                <w:sz w:val="17"/>
              </w:rPr>
              <w:t>Origination fee</w:t>
            </w:r>
          </w:p>
        </w:tc>
        <w:tc>
          <w:tcPr>
            <w:tcW w:type="dxa" w:w="858"/>
          </w:tcPr>
          <w:p>
            <w:pPr>
              <w:jc w:val="right"/>
            </w:pPr>
            <w:r>
              <w:rPr>
                <w:rFonts w:ascii="Arial" w:hAnsi="Arial" w:eastAsia="Arial"/>
                <w:b w:val="0"/>
                <w:i w:val="0"/>
                <w:color w:val="2A3140"/>
                <w:sz w:val="17"/>
              </w:rPr>
              <w:t>11,000</w:t>
            </w:r>
          </w:p>
        </w:tc>
      </w:tr>
      <w:tr>
        <w:tc>
          <w:tcPr>
            <w:tcW w:type="dxa" w:w="3432"/>
          </w:tcPr>
          <w:p/>
        </w:tc>
        <w:tc>
          <w:tcPr>
            <w:tcW w:type="dxa" w:w="858"/>
          </w:tcPr>
          <w:p/>
        </w:tc>
        <w:tc>
          <w:tcPr>
            <w:tcW w:type="dxa" w:w="4212"/>
          </w:tcPr>
          <w:p>
            <w:r>
              <w:rPr>
                <w:rFonts w:ascii="Arial" w:hAnsi="Arial" w:eastAsia="Arial"/>
                <w:b w:val="0"/>
                <w:i w:val="0"/>
                <w:color w:val="2A3140"/>
                <w:sz w:val="17"/>
              </w:rPr>
              <w:t>Rate cap (illustrative)</w:t>
            </w:r>
          </w:p>
        </w:tc>
        <w:tc>
          <w:tcPr>
            <w:tcW w:type="dxa" w:w="858"/>
          </w:tcPr>
          <w:p>
            <w:pPr>
              <w:jc w:val="right"/>
            </w:pPr>
            <w:r>
              <w:rPr>
                <w:rFonts w:ascii="Arial" w:hAnsi="Arial" w:eastAsia="Arial"/>
                <w:b w:val="0"/>
                <w:i w:val="0"/>
                <w:color w:val="2A3140"/>
                <w:sz w:val="17"/>
              </w:rPr>
              <w:t>6,500</w:t>
            </w:r>
          </w:p>
        </w:tc>
      </w:tr>
      <w:tr>
        <w:tc>
          <w:tcPr>
            <w:tcW w:type="dxa" w:w="3432"/>
          </w:tcPr>
          <w:p/>
        </w:tc>
        <w:tc>
          <w:tcPr>
            <w:tcW w:type="dxa" w:w="858"/>
          </w:tcPr>
          <w:p/>
        </w:tc>
        <w:tc>
          <w:tcPr>
            <w:tcW w:type="dxa" w:w="4212"/>
          </w:tcPr>
          <w:p>
            <w:r>
              <w:rPr>
                <w:rFonts w:ascii="Arial" w:hAnsi="Arial" w:eastAsia="Arial"/>
                <w:b w:val="0"/>
                <w:i w:val="0"/>
                <w:color w:val="2A3140"/>
                <w:sz w:val="17"/>
              </w:rPr>
              <w:t>Legal, title, appraisal and other costs (illustrative)</w:t>
            </w:r>
          </w:p>
        </w:tc>
        <w:tc>
          <w:tcPr>
            <w:tcW w:type="dxa" w:w="858"/>
          </w:tcPr>
          <w:p>
            <w:pPr>
              <w:jc w:val="right"/>
            </w:pPr>
            <w:r>
              <w:rPr>
                <w:rFonts w:ascii="Arial" w:hAnsi="Arial" w:eastAsia="Arial"/>
                <w:b w:val="0"/>
                <w:i w:val="0"/>
                <w:color w:val="2A3140"/>
                <w:sz w:val="17"/>
              </w:rPr>
              <w:t>4,000</w:t>
            </w:r>
          </w:p>
        </w:tc>
      </w:tr>
      <w:tr>
        <w:tc>
          <w:tcPr>
            <w:tcW w:type="dxa" w:w="3432"/>
          </w:tcPr>
          <w:p>
            <w:r>
              <w:rPr>
                <w:rFonts w:ascii="Arial" w:hAnsi="Arial" w:eastAsia="Arial"/>
                <w:b/>
                <w:i w:val="0"/>
                <w:color w:val="2A3140"/>
                <w:sz w:val="17"/>
              </w:rPr>
              <w:t>Total sources</w:t>
            </w:r>
          </w:p>
        </w:tc>
        <w:tc>
          <w:tcPr>
            <w:tcW w:type="dxa" w:w="858"/>
          </w:tcPr>
          <w:p>
            <w:r>
              <w:rPr>
                <w:rFonts w:ascii="Arial" w:hAnsi="Arial" w:eastAsia="Arial"/>
                <w:b/>
                <w:i w:val="0"/>
                <w:color w:val="2A3140"/>
                <w:sz w:val="17"/>
              </w:rPr>
              <w:t>1,141,500</w:t>
            </w:r>
          </w:p>
        </w:tc>
        <w:tc>
          <w:tcPr>
            <w:tcW w:type="dxa" w:w="4212"/>
          </w:tcPr>
          <w:p>
            <w:r>
              <w:rPr>
                <w:rFonts w:ascii="Arial" w:hAnsi="Arial" w:eastAsia="Arial"/>
                <w:b/>
                <w:i w:val="0"/>
                <w:color w:val="2A3140"/>
                <w:sz w:val="17"/>
              </w:rPr>
              <w:t>Total uses</w:t>
            </w:r>
          </w:p>
        </w:tc>
        <w:tc>
          <w:tcPr>
            <w:tcW w:type="dxa" w:w="858"/>
          </w:tcPr>
          <w:p>
            <w:r>
              <w:rPr>
                <w:rFonts w:ascii="Arial" w:hAnsi="Arial" w:eastAsia="Arial"/>
                <w:b/>
                <w:i w:val="0"/>
                <w:color w:val="2A3140"/>
                <w:sz w:val="17"/>
              </w:rPr>
              <w:t>1,141,500</w:t>
            </w:r>
          </w:p>
        </w:tc>
      </w:tr>
    </w:tbl>
    <w:p>
      <w:pPr>
        <w:spacing w:after="40"/>
      </w:pPr>
    </w:p>
    <w:p>
      <w:r>
        <w:rPr>
          <w:rFonts w:ascii="Arial" w:hAnsi="Arial" w:eastAsia="Arial"/>
          <w:b w:val="0"/>
          <w:i/>
          <w:color w:val="5B6475"/>
          <w:sz w:val="16"/>
        </w:rPr>
        <w:t>Source: Exhibit 5; HYPOTHETICAL request; the reserve balance at closing is not disclosed and is assumed.</w:t>
      </w:r>
    </w:p>
    <w:p>
      <w:r>
        <w:rPr>
          <w:rFonts w:ascii="Arial" w:hAnsi="Arial" w:eastAsia="Arial"/>
          <w:b w:val="0"/>
          <w:i w:val="0"/>
          <w:color w:val="2A3140"/>
          <w:sz w:val="21"/>
        </w:rPr>
        <w:t>Pro forma capitalisation of the borrowers (HYPOTHETICAL): one tranche.</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2621"/>
        <w:gridCol w:w="1048"/>
        <w:gridCol w:w="2546"/>
        <w:gridCol w:w="2097"/>
        <w:gridCol w:w="1048"/>
      </w:tblGrid>
      <w:tr>
        <w:tc>
          <w:tcPr>
            <w:tcW w:type="dxa" w:w="2621"/>
            <w:shd w:val="clear" w:color="auto" w:fill="E4EAF3"/>
          </w:tcPr>
          <w:p>
            <w:r>
              <w:rPr>
                <w:rFonts w:ascii="Arial" w:hAnsi="Arial" w:eastAsia="Arial"/>
                <w:b/>
                <w:i w:val="0"/>
                <w:color w:val="121826"/>
                <w:sz w:val="17"/>
              </w:rPr>
              <w:t>Tranche</w:t>
            </w:r>
          </w:p>
        </w:tc>
        <w:tc>
          <w:tcPr>
            <w:tcW w:type="dxa" w:w="1048"/>
            <w:shd w:val="clear" w:color="auto" w:fill="E4EAF3"/>
          </w:tcPr>
          <w:p>
            <w:pPr>
              <w:jc w:val="right"/>
            </w:pPr>
            <w:r>
              <w:rPr>
                <w:rFonts w:ascii="Arial" w:hAnsi="Arial" w:eastAsia="Arial"/>
                <w:b/>
                <w:i w:val="0"/>
                <w:color w:val="121826"/>
                <w:sz w:val="17"/>
              </w:rPr>
              <w:t>Amount ($000s)</w:t>
            </w:r>
          </w:p>
        </w:tc>
        <w:tc>
          <w:tcPr>
            <w:tcW w:type="dxa" w:w="2546"/>
            <w:shd w:val="clear" w:color="auto" w:fill="E4EAF3"/>
          </w:tcPr>
          <w:p>
            <w:pPr>
              <w:jc w:val="right"/>
            </w:pPr>
            <w:r>
              <w:rPr>
                <w:rFonts w:ascii="Arial" w:hAnsi="Arial" w:eastAsia="Arial"/>
                <w:b/>
                <w:i w:val="0"/>
                <w:color w:val="121826"/>
                <w:sz w:val="17"/>
              </w:rPr>
              <w:t>Pricing</w:t>
            </w:r>
          </w:p>
        </w:tc>
        <w:tc>
          <w:tcPr>
            <w:tcW w:type="dxa" w:w="2097"/>
            <w:shd w:val="clear" w:color="auto" w:fill="E4EAF3"/>
          </w:tcPr>
          <w:p>
            <w:pPr>
              <w:jc w:val="right"/>
            </w:pPr>
            <w:r>
              <w:rPr>
                <w:rFonts w:ascii="Arial" w:hAnsi="Arial" w:eastAsia="Arial"/>
                <w:b/>
                <w:i w:val="0"/>
                <w:color w:val="121826"/>
                <w:sz w:val="17"/>
              </w:rPr>
              <w:t>Maturity</w:t>
            </w:r>
          </w:p>
        </w:tc>
        <w:tc>
          <w:tcPr>
            <w:tcW w:type="dxa" w:w="1048"/>
            <w:shd w:val="clear" w:color="auto" w:fill="E4EAF3"/>
          </w:tcPr>
          <w:p>
            <w:pPr>
              <w:jc w:val="right"/>
            </w:pPr>
            <w:r>
              <w:rPr>
                <w:rFonts w:ascii="Arial" w:hAnsi="Arial" w:eastAsia="Arial"/>
                <w:b/>
                <w:i w:val="0"/>
                <w:color w:val="121826"/>
                <w:sz w:val="17"/>
              </w:rPr>
              <w:t>Loan per sq ft</w:t>
            </w:r>
          </w:p>
        </w:tc>
      </w:tr>
      <w:tr>
        <w:tc>
          <w:tcPr>
            <w:tcW w:type="dxa" w:w="2621"/>
          </w:tcPr>
          <w:p>
            <w:r>
              <w:rPr>
                <w:rFonts w:ascii="Arial" w:hAnsi="Arial" w:eastAsia="Arial"/>
                <w:b w:val="0"/>
                <w:i w:val="0"/>
                <w:color w:val="2A3140"/>
                <w:sz w:val="17"/>
              </w:rPr>
              <w:t>Senior floating-rate first mortgage</w:t>
            </w:r>
          </w:p>
        </w:tc>
        <w:tc>
          <w:tcPr>
            <w:tcW w:type="dxa" w:w="1048"/>
          </w:tcPr>
          <w:p>
            <w:pPr>
              <w:jc w:val="right"/>
            </w:pPr>
            <w:r>
              <w:rPr>
                <w:rFonts w:ascii="Arial" w:hAnsi="Arial" w:eastAsia="Arial"/>
                <w:b w:val="0"/>
                <w:i w:val="0"/>
                <w:color w:val="2A3140"/>
                <w:sz w:val="17"/>
              </w:rPr>
              <w:t>1,100,000</w:t>
            </w:r>
          </w:p>
        </w:tc>
        <w:tc>
          <w:tcPr>
            <w:tcW w:type="dxa" w:w="2546"/>
          </w:tcPr>
          <w:p>
            <w:r>
              <w:rPr>
                <w:rFonts w:ascii="Arial" w:hAnsi="Arial" w:eastAsia="Arial"/>
                <w:b w:val="0"/>
                <w:i w:val="0"/>
                <w:color w:val="2A3140"/>
                <w:sz w:val="17"/>
              </w:rPr>
              <w:t>1M Term SOFR + 325bp (floor 2.00%)</w:t>
            </w:r>
          </w:p>
        </w:tc>
        <w:tc>
          <w:tcPr>
            <w:tcW w:type="dxa" w:w="2097"/>
          </w:tcPr>
          <w:p>
            <w:r>
              <w:rPr>
                <w:rFonts w:ascii="Arial" w:hAnsi="Arial" w:eastAsia="Arial"/>
                <w:b w:val="0"/>
                <w:i w:val="0"/>
                <w:color w:val="2A3140"/>
                <w:sz w:val="17"/>
              </w:rPr>
              <w:t>3 years + two 1-year options</w:t>
            </w:r>
          </w:p>
        </w:tc>
        <w:tc>
          <w:tcPr>
            <w:tcW w:type="dxa" w:w="1048"/>
          </w:tcPr>
          <w:p>
            <w:pPr>
              <w:jc w:val="right"/>
            </w:pPr>
            <w:r>
              <w:rPr>
                <w:rFonts w:ascii="Arial" w:hAnsi="Arial" w:eastAsia="Arial"/>
                <w:b w:val="0"/>
                <w:i w:val="0"/>
                <w:color w:val="2A3140"/>
                <w:sz w:val="17"/>
              </w:rPr>
              <w:t>$506</w:t>
            </w:r>
          </w:p>
        </w:tc>
      </w:tr>
      <w:tr>
        <w:tc>
          <w:tcPr>
            <w:tcW w:type="dxa" w:w="2621"/>
          </w:tcPr>
          <w:p>
            <w:r>
              <w:rPr>
                <w:rFonts w:ascii="Arial" w:hAnsi="Arial" w:eastAsia="Arial"/>
                <w:b w:val="0"/>
                <w:i w:val="0"/>
                <w:color w:val="2A3140"/>
                <w:sz w:val="17"/>
              </w:rPr>
              <w:t>Total debt</w:t>
            </w:r>
          </w:p>
        </w:tc>
        <w:tc>
          <w:tcPr>
            <w:tcW w:type="dxa" w:w="1048"/>
          </w:tcPr>
          <w:p>
            <w:pPr>
              <w:jc w:val="right"/>
            </w:pPr>
            <w:r>
              <w:rPr>
                <w:rFonts w:ascii="Arial" w:hAnsi="Arial" w:eastAsia="Arial"/>
                <w:b w:val="0"/>
                <w:i w:val="0"/>
                <w:color w:val="2A3140"/>
                <w:sz w:val="17"/>
              </w:rPr>
              <w:t>1,100,000</w:t>
            </w:r>
          </w:p>
        </w:tc>
        <w:tc>
          <w:tcPr>
            <w:tcW w:type="dxa" w:w="2546"/>
          </w:tcPr>
          <w:p/>
        </w:tc>
        <w:tc>
          <w:tcPr>
            <w:tcW w:type="dxa" w:w="2097"/>
          </w:tcPr>
          <w:p/>
        </w:tc>
        <w:tc>
          <w:tcPr>
            <w:tcW w:type="dxa" w:w="1048"/>
          </w:tcPr>
          <w:p>
            <w:pPr>
              <w:jc w:val="right"/>
            </w:pPr>
            <w:r>
              <w:rPr>
                <w:rFonts w:ascii="Arial" w:hAnsi="Arial" w:eastAsia="Arial"/>
                <w:b w:val="0"/>
                <w:i w:val="0"/>
                <w:color w:val="2A3140"/>
                <w:sz w:val="17"/>
              </w:rPr>
              <w:t>$506</w:t>
            </w:r>
          </w:p>
        </w:tc>
      </w:tr>
    </w:tbl>
    <w:p>
      <w:pPr>
        <w:spacing w:after="40"/>
      </w:pPr>
    </w:p>
    <w:p>
      <w:r>
        <w:rPr>
          <w:rFonts w:ascii="Arial" w:hAnsi="Arial" w:eastAsia="Arial"/>
          <w:b w:val="0"/>
          <w:i w:val="0"/>
          <w:color w:val="2A3140"/>
          <w:sz w:val="21"/>
        </w:rPr>
        <w:t>Loan-to-value, debt yield and coverage are for you to compute (Question 1); no appraisal for the take-out has been received.</w:t>
      </w:r>
    </w:p>
    <w:p>
      <w:r>
        <w:rPr>
          <w:rFonts w:ascii="Arial" w:hAnsi="Arial" w:eastAsia="Arial"/>
          <w:b w:val="0"/>
          <w:i w:val="0"/>
          <w:color w:val="2A3140"/>
          <w:sz w:val="21"/>
        </w:rPr>
        <w:t>Sponsor balance sheet and liquidity (HPP consolidated, 30 June 2026; Exhibit 7): total assets $7,170.4M, total liabilities $4,131.9M, book equity $2,986.9M, cash $80.8M and an undrawn revolver of $795.3M, of which $333.3M of commitments mature on 21 December 2026. HPP's debt maturities (principal, $000s):</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5084"/>
        <w:gridCol w:w="1618"/>
        <w:gridCol w:w="1387"/>
        <w:gridCol w:w="1271"/>
      </w:tblGrid>
      <w:tr>
        <w:tc>
          <w:tcPr>
            <w:tcW w:type="dxa" w:w="5084"/>
            <w:shd w:val="clear" w:color="auto" w:fill="E4EAF3"/>
          </w:tcPr>
          <w:p>
            <w:r>
              <w:rPr>
                <w:rFonts w:ascii="Arial" w:hAnsi="Arial" w:eastAsia="Arial"/>
                <w:b/>
                <w:i w:val="0"/>
                <w:color w:val="121826"/>
                <w:sz w:val="17"/>
              </w:rPr>
              <w:t>HPP debt</w:t>
            </w:r>
          </w:p>
        </w:tc>
        <w:tc>
          <w:tcPr>
            <w:tcW w:type="dxa" w:w="1618"/>
            <w:shd w:val="clear" w:color="auto" w:fill="E4EAF3"/>
          </w:tcPr>
          <w:p>
            <w:pPr>
              <w:jc w:val="right"/>
            </w:pPr>
            <w:r>
              <w:rPr>
                <w:rFonts w:ascii="Arial" w:hAnsi="Arial" w:eastAsia="Arial"/>
                <w:b/>
                <w:i w:val="0"/>
                <w:color w:val="121826"/>
                <w:sz w:val="17"/>
              </w:rPr>
              <w:t>Amount ($000s)</w:t>
            </w:r>
          </w:p>
        </w:tc>
        <w:tc>
          <w:tcPr>
            <w:tcW w:type="dxa" w:w="1387"/>
            <w:shd w:val="clear" w:color="auto" w:fill="E4EAF3"/>
          </w:tcPr>
          <w:p>
            <w:pPr>
              <w:jc w:val="right"/>
            </w:pPr>
            <w:r>
              <w:rPr>
                <w:rFonts w:ascii="Arial" w:hAnsi="Arial" w:eastAsia="Arial"/>
                <w:b/>
                <w:i w:val="0"/>
                <w:color w:val="121826"/>
                <w:sz w:val="17"/>
              </w:rPr>
              <w:t>Coupon</w:t>
            </w:r>
          </w:p>
        </w:tc>
        <w:tc>
          <w:tcPr>
            <w:tcW w:type="dxa" w:w="1271"/>
            <w:shd w:val="clear" w:color="auto" w:fill="E4EAF3"/>
          </w:tcPr>
          <w:p>
            <w:pPr>
              <w:jc w:val="right"/>
            </w:pPr>
            <w:r>
              <w:rPr>
                <w:rFonts w:ascii="Arial" w:hAnsi="Arial" w:eastAsia="Arial"/>
                <w:b/>
                <w:i w:val="0"/>
                <w:color w:val="121826"/>
                <w:sz w:val="17"/>
              </w:rPr>
              <w:t>Maturity</w:t>
            </w:r>
          </w:p>
        </w:tc>
      </w:tr>
      <w:tr>
        <w:tc>
          <w:tcPr>
            <w:tcW w:type="dxa" w:w="5084"/>
          </w:tcPr>
          <w:p>
            <w:r>
              <w:rPr>
                <w:rFonts w:ascii="Arial" w:hAnsi="Arial" w:eastAsia="Arial"/>
                <w:b w:val="0"/>
                <w:i w:val="0"/>
                <w:color w:val="2A3140"/>
                <w:sz w:val="17"/>
              </w:rPr>
              <w:t>Hollywood Media Portfolio CMBS, net of HPP-held certificates</w:t>
            </w:r>
          </w:p>
        </w:tc>
        <w:tc>
          <w:tcPr>
            <w:tcW w:type="dxa" w:w="1618"/>
          </w:tcPr>
          <w:p>
            <w:pPr>
              <w:jc w:val="right"/>
            </w:pPr>
            <w:r>
              <w:rPr>
                <w:rFonts w:ascii="Arial" w:hAnsi="Arial" w:eastAsia="Arial"/>
                <w:b w:val="0"/>
                <w:i w:val="0"/>
                <w:color w:val="2A3140"/>
                <w:sz w:val="17"/>
              </w:rPr>
              <w:t>1,069,767</w:t>
            </w:r>
          </w:p>
        </w:tc>
        <w:tc>
          <w:tcPr>
            <w:tcW w:type="dxa" w:w="1387"/>
          </w:tcPr>
          <w:p>
            <w:r>
              <w:rPr>
                <w:rFonts w:ascii="Arial" w:hAnsi="Arial" w:eastAsia="Arial"/>
                <w:b w:val="0"/>
                <w:i w:val="0"/>
                <w:color w:val="2A3140"/>
                <w:sz w:val="17"/>
              </w:rPr>
              <w:t>SOFR + 1.10%</w:t>
            </w:r>
          </w:p>
        </w:tc>
        <w:tc>
          <w:tcPr>
            <w:tcW w:type="dxa" w:w="1271"/>
          </w:tcPr>
          <w:p>
            <w:r>
              <w:rPr>
                <w:rFonts w:ascii="Arial" w:hAnsi="Arial" w:eastAsia="Arial"/>
                <w:b w:val="0"/>
                <w:i w:val="0"/>
                <w:color w:val="2A3140"/>
                <w:sz w:val="17"/>
              </w:rPr>
              <w:t>9 Nov 2027</w:t>
            </w:r>
          </w:p>
        </w:tc>
      </w:tr>
      <w:tr>
        <w:tc>
          <w:tcPr>
            <w:tcW w:type="dxa" w:w="5084"/>
          </w:tcPr>
          <w:p>
            <w:r>
              <w:rPr>
                <w:rFonts w:ascii="Arial" w:hAnsi="Arial" w:eastAsia="Arial"/>
                <w:b w:val="0"/>
                <w:i w:val="0"/>
                <w:color w:val="2A3140"/>
                <w:sz w:val="17"/>
              </w:rPr>
              <w:t>Senior notes</w:t>
            </w:r>
          </w:p>
        </w:tc>
        <w:tc>
          <w:tcPr>
            <w:tcW w:type="dxa" w:w="1618"/>
          </w:tcPr>
          <w:p>
            <w:pPr>
              <w:jc w:val="right"/>
            </w:pPr>
            <w:r>
              <w:rPr>
                <w:rFonts w:ascii="Arial" w:hAnsi="Arial" w:eastAsia="Arial"/>
                <w:b w:val="0"/>
                <w:i w:val="0"/>
                <w:color w:val="2A3140"/>
                <w:sz w:val="17"/>
              </w:rPr>
              <w:t>400,000</w:t>
            </w:r>
          </w:p>
        </w:tc>
        <w:tc>
          <w:tcPr>
            <w:tcW w:type="dxa" w:w="1387"/>
          </w:tcPr>
          <w:p>
            <w:pPr>
              <w:jc w:val="right"/>
            </w:pPr>
            <w:r>
              <w:rPr>
                <w:rFonts w:ascii="Arial" w:hAnsi="Arial" w:eastAsia="Arial"/>
                <w:b w:val="0"/>
                <w:i w:val="0"/>
                <w:color w:val="2A3140"/>
                <w:sz w:val="17"/>
              </w:rPr>
              <w:t>3.95%</w:t>
            </w:r>
          </w:p>
        </w:tc>
        <w:tc>
          <w:tcPr>
            <w:tcW w:type="dxa" w:w="1271"/>
          </w:tcPr>
          <w:p>
            <w:r>
              <w:rPr>
                <w:rFonts w:ascii="Arial" w:hAnsi="Arial" w:eastAsia="Arial"/>
                <w:b w:val="0"/>
                <w:i w:val="0"/>
                <w:color w:val="2A3140"/>
                <w:sz w:val="17"/>
              </w:rPr>
              <w:t>1 Nov 2027</w:t>
            </w:r>
          </w:p>
        </w:tc>
      </w:tr>
      <w:tr>
        <w:tc>
          <w:tcPr>
            <w:tcW w:type="dxa" w:w="5084"/>
          </w:tcPr>
          <w:p>
            <w:r>
              <w:rPr>
                <w:rFonts w:ascii="Arial" w:hAnsi="Arial" w:eastAsia="Arial"/>
                <w:b w:val="0"/>
                <w:i w:val="0"/>
                <w:color w:val="2A3140"/>
                <w:sz w:val="17"/>
              </w:rPr>
              <w:t>Senior notes</w:t>
            </w:r>
          </w:p>
        </w:tc>
        <w:tc>
          <w:tcPr>
            <w:tcW w:type="dxa" w:w="1618"/>
          </w:tcPr>
          <w:p>
            <w:pPr>
              <w:jc w:val="right"/>
            </w:pPr>
            <w:r>
              <w:rPr>
                <w:rFonts w:ascii="Arial" w:hAnsi="Arial" w:eastAsia="Arial"/>
                <w:b w:val="0"/>
                <w:i w:val="0"/>
                <w:color w:val="2A3140"/>
                <w:sz w:val="17"/>
              </w:rPr>
              <w:t>350,000</w:t>
            </w:r>
          </w:p>
        </w:tc>
        <w:tc>
          <w:tcPr>
            <w:tcW w:type="dxa" w:w="1387"/>
          </w:tcPr>
          <w:p>
            <w:pPr>
              <w:jc w:val="right"/>
            </w:pPr>
            <w:r>
              <w:rPr>
                <w:rFonts w:ascii="Arial" w:hAnsi="Arial" w:eastAsia="Arial"/>
                <w:b w:val="0"/>
                <w:i w:val="0"/>
                <w:color w:val="2A3140"/>
                <w:sz w:val="17"/>
              </w:rPr>
              <w:t>5.95%</w:t>
            </w:r>
          </w:p>
        </w:tc>
        <w:tc>
          <w:tcPr>
            <w:tcW w:type="dxa" w:w="1271"/>
          </w:tcPr>
          <w:p>
            <w:r>
              <w:rPr>
                <w:rFonts w:ascii="Arial" w:hAnsi="Arial" w:eastAsia="Arial"/>
                <w:b w:val="0"/>
                <w:i w:val="0"/>
                <w:color w:val="2A3140"/>
                <w:sz w:val="17"/>
              </w:rPr>
              <w:t>15 Feb 2028</w:t>
            </w:r>
          </w:p>
        </w:tc>
      </w:tr>
      <w:tr>
        <w:tc>
          <w:tcPr>
            <w:tcW w:type="dxa" w:w="5084"/>
          </w:tcPr>
          <w:p>
            <w:r>
              <w:rPr>
                <w:rFonts w:ascii="Arial" w:hAnsi="Arial" w:eastAsia="Arial"/>
                <w:b w:val="0"/>
                <w:i w:val="0"/>
                <w:color w:val="2A3140"/>
                <w:sz w:val="17"/>
              </w:rPr>
              <w:t>Hill7 CMBS</w:t>
            </w:r>
          </w:p>
        </w:tc>
        <w:tc>
          <w:tcPr>
            <w:tcW w:type="dxa" w:w="1618"/>
          </w:tcPr>
          <w:p>
            <w:pPr>
              <w:jc w:val="right"/>
            </w:pPr>
            <w:r>
              <w:rPr>
                <w:rFonts w:ascii="Arial" w:hAnsi="Arial" w:eastAsia="Arial"/>
                <w:b w:val="0"/>
                <w:i w:val="0"/>
                <w:color w:val="2A3140"/>
                <w:sz w:val="17"/>
              </w:rPr>
              <w:t>101,000</w:t>
            </w:r>
          </w:p>
        </w:tc>
        <w:tc>
          <w:tcPr>
            <w:tcW w:type="dxa" w:w="1387"/>
          </w:tcPr>
          <w:p>
            <w:pPr>
              <w:jc w:val="right"/>
            </w:pPr>
            <w:r>
              <w:rPr>
                <w:rFonts w:ascii="Arial" w:hAnsi="Arial" w:eastAsia="Arial"/>
                <w:b w:val="0"/>
                <w:i w:val="0"/>
                <w:color w:val="2A3140"/>
                <w:sz w:val="17"/>
              </w:rPr>
              <w:t>3.38%</w:t>
            </w:r>
          </w:p>
        </w:tc>
        <w:tc>
          <w:tcPr>
            <w:tcW w:type="dxa" w:w="1271"/>
          </w:tcPr>
          <w:p>
            <w:r>
              <w:rPr>
                <w:rFonts w:ascii="Arial" w:hAnsi="Arial" w:eastAsia="Arial"/>
                <w:b w:val="0"/>
                <w:i w:val="0"/>
                <w:color w:val="2A3140"/>
                <w:sz w:val="17"/>
              </w:rPr>
              <w:t>6 Nov 2028</w:t>
            </w:r>
          </w:p>
        </w:tc>
      </w:tr>
      <w:tr>
        <w:tc>
          <w:tcPr>
            <w:tcW w:type="dxa" w:w="5084"/>
          </w:tcPr>
          <w:p>
            <w:r>
              <w:rPr>
                <w:rFonts w:ascii="Arial" w:hAnsi="Arial" w:eastAsia="Arial"/>
                <w:b w:val="0"/>
                <w:i w:val="0"/>
                <w:color w:val="2A3140"/>
                <w:sz w:val="17"/>
              </w:rPr>
              <w:t>Senior notes</w:t>
            </w:r>
          </w:p>
        </w:tc>
        <w:tc>
          <w:tcPr>
            <w:tcW w:type="dxa" w:w="1618"/>
          </w:tcPr>
          <w:p>
            <w:pPr>
              <w:jc w:val="right"/>
            </w:pPr>
            <w:r>
              <w:rPr>
                <w:rFonts w:ascii="Arial" w:hAnsi="Arial" w:eastAsia="Arial"/>
                <w:b w:val="0"/>
                <w:i w:val="0"/>
                <w:color w:val="2A3140"/>
                <w:sz w:val="17"/>
              </w:rPr>
              <w:t>500,000</w:t>
            </w:r>
          </w:p>
        </w:tc>
        <w:tc>
          <w:tcPr>
            <w:tcW w:type="dxa" w:w="1387"/>
          </w:tcPr>
          <w:p>
            <w:pPr>
              <w:jc w:val="right"/>
            </w:pPr>
            <w:r>
              <w:rPr>
                <w:rFonts w:ascii="Arial" w:hAnsi="Arial" w:eastAsia="Arial"/>
                <w:b w:val="0"/>
                <w:i w:val="0"/>
                <w:color w:val="2A3140"/>
                <w:sz w:val="17"/>
              </w:rPr>
              <w:t>4.65%</w:t>
            </w:r>
          </w:p>
        </w:tc>
        <w:tc>
          <w:tcPr>
            <w:tcW w:type="dxa" w:w="1271"/>
          </w:tcPr>
          <w:p>
            <w:r>
              <w:rPr>
                <w:rFonts w:ascii="Arial" w:hAnsi="Arial" w:eastAsia="Arial"/>
                <w:b w:val="0"/>
                <w:i w:val="0"/>
                <w:color w:val="2A3140"/>
                <w:sz w:val="17"/>
              </w:rPr>
              <w:t>1 Apr 2029</w:t>
            </w:r>
          </w:p>
        </w:tc>
      </w:tr>
      <w:tr>
        <w:tc>
          <w:tcPr>
            <w:tcW w:type="dxa" w:w="5084"/>
          </w:tcPr>
          <w:p>
            <w:r>
              <w:rPr>
                <w:rFonts w:ascii="Arial" w:hAnsi="Arial" w:eastAsia="Arial"/>
                <w:b w:val="0"/>
                <w:i w:val="0"/>
                <w:color w:val="2A3140"/>
                <w:sz w:val="17"/>
              </w:rPr>
              <w:t>Senior notes</w:t>
            </w:r>
          </w:p>
        </w:tc>
        <w:tc>
          <w:tcPr>
            <w:tcW w:type="dxa" w:w="1618"/>
          </w:tcPr>
          <w:p>
            <w:pPr>
              <w:jc w:val="right"/>
            </w:pPr>
            <w:r>
              <w:rPr>
                <w:rFonts w:ascii="Arial" w:hAnsi="Arial" w:eastAsia="Arial"/>
                <w:b w:val="0"/>
                <w:i w:val="0"/>
                <w:color w:val="2A3140"/>
                <w:sz w:val="17"/>
              </w:rPr>
              <w:t>400,000</w:t>
            </w:r>
          </w:p>
        </w:tc>
        <w:tc>
          <w:tcPr>
            <w:tcW w:type="dxa" w:w="1387"/>
          </w:tcPr>
          <w:p>
            <w:pPr>
              <w:jc w:val="right"/>
            </w:pPr>
            <w:r>
              <w:rPr>
                <w:rFonts w:ascii="Arial" w:hAnsi="Arial" w:eastAsia="Arial"/>
                <w:b w:val="0"/>
                <w:i w:val="0"/>
                <w:color w:val="2A3140"/>
                <w:sz w:val="17"/>
              </w:rPr>
              <w:t>3.25%</w:t>
            </w:r>
          </w:p>
        </w:tc>
        <w:tc>
          <w:tcPr>
            <w:tcW w:type="dxa" w:w="1271"/>
          </w:tcPr>
          <w:p>
            <w:r>
              <w:rPr>
                <w:rFonts w:ascii="Arial" w:hAnsi="Arial" w:eastAsia="Arial"/>
                <w:b w:val="0"/>
                <w:i w:val="0"/>
                <w:color w:val="2A3140"/>
                <w:sz w:val="17"/>
              </w:rPr>
              <w:t>15 Jan 2030</w:t>
            </w:r>
          </w:p>
        </w:tc>
      </w:tr>
      <w:tr>
        <w:tc>
          <w:tcPr>
            <w:tcW w:type="dxa" w:w="5084"/>
          </w:tcPr>
          <w:p>
            <w:r>
              <w:rPr>
                <w:rFonts w:ascii="Arial" w:hAnsi="Arial" w:eastAsia="Arial"/>
                <w:b w:val="0"/>
                <w:i w:val="0"/>
                <w:color w:val="2A3140"/>
                <w:sz w:val="17"/>
              </w:rPr>
              <w:t>Office Portfolio CMBS</w:t>
            </w:r>
          </w:p>
        </w:tc>
        <w:tc>
          <w:tcPr>
            <w:tcW w:type="dxa" w:w="1618"/>
          </w:tcPr>
          <w:p>
            <w:pPr>
              <w:jc w:val="right"/>
            </w:pPr>
            <w:r>
              <w:rPr>
                <w:rFonts w:ascii="Arial" w:hAnsi="Arial" w:eastAsia="Arial"/>
                <w:b w:val="0"/>
                <w:i w:val="0"/>
                <w:color w:val="2A3140"/>
                <w:sz w:val="17"/>
              </w:rPr>
              <w:t>257,083</w:t>
            </w:r>
          </w:p>
        </w:tc>
        <w:tc>
          <w:tcPr>
            <w:tcW w:type="dxa" w:w="1387"/>
          </w:tcPr>
          <w:p>
            <w:r>
              <w:rPr>
                <w:rFonts w:ascii="Arial" w:hAnsi="Arial" w:eastAsia="Arial"/>
                <w:b w:val="0"/>
                <w:i w:val="0"/>
                <w:color w:val="2A3140"/>
                <w:sz w:val="17"/>
              </w:rPr>
              <w:t>SOFR + 4.15%</w:t>
            </w:r>
          </w:p>
        </w:tc>
        <w:tc>
          <w:tcPr>
            <w:tcW w:type="dxa" w:w="1271"/>
          </w:tcPr>
          <w:p>
            <w:r>
              <w:rPr>
                <w:rFonts w:ascii="Arial" w:hAnsi="Arial" w:eastAsia="Arial"/>
                <w:b w:val="0"/>
                <w:i w:val="0"/>
                <w:color w:val="2A3140"/>
                <w:sz w:val="17"/>
              </w:rPr>
              <w:t>9 Apr 2030</w:t>
            </w:r>
          </w:p>
        </w:tc>
      </w:tr>
      <w:tr>
        <w:tc>
          <w:tcPr>
            <w:tcW w:type="dxa" w:w="5084"/>
          </w:tcPr>
          <w:p>
            <w:r>
              <w:rPr>
                <w:rFonts w:ascii="Arial" w:hAnsi="Arial" w:eastAsia="Arial"/>
                <w:b w:val="0"/>
                <w:i w:val="0"/>
                <w:color w:val="2A3140"/>
                <w:sz w:val="17"/>
              </w:rPr>
              <w:t>1918 Eighth CMBS</w:t>
            </w:r>
          </w:p>
        </w:tc>
        <w:tc>
          <w:tcPr>
            <w:tcW w:type="dxa" w:w="1618"/>
          </w:tcPr>
          <w:p>
            <w:pPr>
              <w:jc w:val="right"/>
            </w:pPr>
            <w:r>
              <w:rPr>
                <w:rFonts w:ascii="Arial" w:hAnsi="Arial" w:eastAsia="Arial"/>
                <w:b w:val="0"/>
                <w:i w:val="0"/>
                <w:color w:val="2A3140"/>
                <w:sz w:val="17"/>
              </w:rPr>
              <w:t>285,000</w:t>
            </w:r>
          </w:p>
        </w:tc>
        <w:tc>
          <w:tcPr>
            <w:tcW w:type="dxa" w:w="1387"/>
          </w:tcPr>
          <w:p>
            <w:pPr>
              <w:jc w:val="right"/>
            </w:pPr>
            <w:r>
              <w:rPr>
                <w:rFonts w:ascii="Arial" w:hAnsi="Arial" w:eastAsia="Arial"/>
                <w:b w:val="0"/>
                <w:i w:val="0"/>
                <w:color w:val="2A3140"/>
                <w:sz w:val="17"/>
              </w:rPr>
              <w:t>6.16%</w:t>
            </w:r>
          </w:p>
        </w:tc>
        <w:tc>
          <w:tcPr>
            <w:tcW w:type="dxa" w:w="1271"/>
          </w:tcPr>
          <w:p>
            <w:r>
              <w:rPr>
                <w:rFonts w:ascii="Arial" w:hAnsi="Arial" w:eastAsia="Arial"/>
                <w:b w:val="0"/>
                <w:i w:val="0"/>
                <w:color w:val="2A3140"/>
                <w:sz w:val="17"/>
              </w:rPr>
              <w:t>11 Sep 2030</w:t>
            </w:r>
          </w:p>
        </w:tc>
      </w:tr>
      <w:tr>
        <w:tc>
          <w:tcPr>
            <w:tcW w:type="dxa" w:w="5084"/>
          </w:tcPr>
          <w:p>
            <w:r>
              <w:rPr>
                <w:rFonts w:ascii="Arial" w:hAnsi="Arial" w:eastAsia="Arial"/>
                <w:b/>
                <w:i w:val="0"/>
                <w:color w:val="2A3140"/>
                <w:sz w:val="17"/>
              </w:rPr>
              <w:t>Total</w:t>
            </w:r>
          </w:p>
        </w:tc>
        <w:tc>
          <w:tcPr>
            <w:tcW w:type="dxa" w:w="1618"/>
          </w:tcPr>
          <w:p>
            <w:r>
              <w:rPr>
                <w:rFonts w:ascii="Arial" w:hAnsi="Arial" w:eastAsia="Arial"/>
                <w:b/>
                <w:i w:val="0"/>
                <w:color w:val="2A3140"/>
                <w:sz w:val="17"/>
              </w:rPr>
              <w:t>3,362,850</w:t>
            </w:r>
          </w:p>
        </w:tc>
        <w:tc>
          <w:tcPr>
            <w:tcW w:type="dxa" w:w="1387"/>
          </w:tcPr>
          <w:p/>
        </w:tc>
        <w:tc>
          <w:tcPr>
            <w:tcW w:type="dxa" w:w="1271"/>
          </w:tcPr>
          <w:p/>
        </w:tc>
      </w:tr>
    </w:tbl>
    <w:p>
      <w:pPr>
        <w:spacing w:after="40"/>
      </w:pPr>
    </w:p>
    <w:p>
      <w:r>
        <w:rPr>
          <w:rFonts w:ascii="Arial" w:hAnsi="Arial" w:eastAsia="Arial"/>
          <w:b w:val="0"/>
          <w:i/>
          <w:color w:val="5B6475"/>
          <w:sz w:val="16"/>
        </w:rPr>
        <w:t>Source: HPP 10-Q Q2-2026 Note 9 [S1]; the HMP maturity reflects the 9 September 2026 modification [S7].</w:t>
      </w:r>
    </w:p>
    <w:p>
      <w:pPr>
        <w:spacing w:before="200"/>
      </w:pPr>
      <w:r>
        <w:rPr>
          <w:rFonts w:ascii="Georgia" w:hAnsi="Georgia" w:eastAsia="Georgia"/>
          <w:b/>
          <w:i w:val="0"/>
          <w:color w:val="1E3A5F"/>
          <w:sz w:val="26"/>
        </w:rPr>
        <w:t>6. Asset-class data</w:t>
      </w:r>
    </w:p>
    <w:p>
      <w:r>
        <w:rPr>
          <w:rFonts w:ascii="Arial" w:hAnsi="Arial" w:eastAsia="Arial"/>
          <w:b w:val="0"/>
          <w:i w:val="0"/>
          <w:color w:val="2A3140"/>
          <w:sz w:val="21"/>
        </w:rPr>
        <w:t>The data book holds the property-level data a lender needs, with gaps stated:</w:t>
      </w:r>
    </w:p>
    <w:p>
      <w:pPr>
        <w:pStyle w:val="ListBullet"/>
      </w:pPr>
      <w:r>
        <w:rPr>
          <w:rFonts w:ascii="Arial" w:hAnsi="Arial" w:eastAsia="Arial"/>
          <w:b/>
          <w:i w:val="0"/>
          <w:color w:val="2A3140"/>
          <w:sz w:val="21"/>
        </w:rPr>
        <w:t>Property schedule and tenancy (Exhibit 3).</w:t>
      </w:r>
      <w:r>
        <w:rPr>
          <w:rFonts w:ascii="Arial" w:hAnsi="Arial" w:eastAsia="Arial"/>
          <w:b w:val="0"/>
          <w:i w:val="0"/>
          <w:color w:val="2A3140"/>
          <w:sz w:val="21"/>
        </w:rPr>
        <w:t xml:space="preserve"> Square feet, stages, stage occupancy and ABR by studio lot; square feet by office building; Netflix's office space, ABR and expiry; the largest tenant's expiry profile from Morningstar DBRS (it holds 56.7% of net rentable area (NRA); 11.7% of its footprint expires in 2026, 29.8% in 2028 and 58.4% in 2031) [S11]; and Fitch's figures for Twentieth Century Fox (6.4% of NRA expiring December 2026) and Netflix (7.0% of NRA expiring January 2027), available only through a secondary report [S12]. A lease-level rent roll was not provided.</w:t>
      </w:r>
    </w:p>
    <w:p>
      <w:pPr>
        <w:pStyle w:val="ListBullet"/>
      </w:pPr>
      <w:r>
        <w:rPr>
          <w:rFonts w:ascii="Arial" w:hAnsi="Arial" w:eastAsia="Arial"/>
          <w:b/>
          <w:i w:val="0"/>
          <w:color w:val="2A3140"/>
          <w:sz w:val="21"/>
        </w:rPr>
        <w:t>Net cash flow (Exhibit 4).</w:t>
      </w:r>
      <w:r>
        <w:rPr>
          <w:rFonts w:ascii="Arial" w:hAnsi="Arial" w:eastAsia="Arial"/>
          <w:b w:val="0"/>
          <w:i w:val="0"/>
          <w:color w:val="2A3140"/>
          <w:sz w:val="21"/>
        </w:rPr>
        <w:t xml:space="preserve"> A bottom-up estimate from HPP's filings, with four labelled assumptions, next to servicer-reported NCF and the rating agencies' sustainable NCF.</w:t>
      </w:r>
    </w:p>
    <w:p>
      <w:pPr>
        <w:pStyle w:val="ListBullet"/>
      </w:pPr>
      <w:r>
        <w:rPr>
          <w:rFonts w:ascii="Arial" w:hAnsi="Arial" w:eastAsia="Arial"/>
          <w:b/>
          <w:i w:val="0"/>
          <w:color w:val="2A3140"/>
          <w:sz w:val="21"/>
        </w:rPr>
        <w:t>Value evidence (Exhibits 4 and 6).</w:t>
      </w:r>
      <w:r>
        <w:rPr>
          <w:rFonts w:ascii="Arial" w:hAnsi="Arial" w:eastAsia="Arial"/>
          <w:b w:val="0"/>
          <w:i w:val="0"/>
          <w:color w:val="2A3140"/>
          <w:sz w:val="21"/>
        </w:rPr>
        <w:t xml:space="preserve"> Implied appraised value at issuance $1,903.1M (loan ÷ 57.8% LTV); the 2020 joint-venture valuation; Morningstar DBRS's value of $938.3M at an 8.0% cap rate (February 2026); cap rates from CBRE and CRED iQ; the Radford Studio Center sale.</w:t>
      </w:r>
    </w:p>
    <w:p>
      <w:pPr>
        <w:pStyle w:val="ListBullet"/>
      </w:pPr>
      <w:r>
        <w:rPr>
          <w:rFonts w:ascii="Arial" w:hAnsi="Arial" w:eastAsia="Arial"/>
          <w:b/>
          <w:i w:val="0"/>
          <w:color w:val="2A3140"/>
          <w:sz w:val="21"/>
        </w:rPr>
        <w:t>Capex and leasing (Exhibits 4 and 5).</w:t>
      </w:r>
      <w:r>
        <w:rPr>
          <w:rFonts w:ascii="Arial" w:hAnsi="Arial" w:eastAsia="Arial"/>
          <w:b w:val="0"/>
          <w:i w:val="0"/>
          <w:color w:val="2A3140"/>
          <w:sz w:val="21"/>
        </w:rPr>
        <w:t xml:space="preserve"> HPP's 6M Jun-26 blended TI/LC cost of $7.04 per sq ft per year of lease term; the $20.0M reserve; 6040 Sunset repositioning (budget not disclosed).</w:t>
      </w:r>
    </w:p>
    <w:p>
      <w:pPr>
        <w:pStyle w:val="ListBullet"/>
      </w:pPr>
      <w:r>
        <w:rPr>
          <w:rFonts w:ascii="Arial" w:hAnsi="Arial" w:eastAsia="Arial"/>
          <w:b/>
          <w:i w:val="0"/>
          <w:color w:val="2A3140"/>
          <w:sz w:val="21"/>
        </w:rPr>
        <w:t>Hedging (Exhibit 5).</w:t>
      </w:r>
      <w:r>
        <w:rPr>
          <w:rFonts w:ascii="Arial" w:hAnsi="Arial" w:eastAsia="Arial"/>
          <w:b w:val="0"/>
          <w:i w:val="0"/>
          <w:color w:val="2A3140"/>
          <w:sz w:val="21"/>
        </w:rPr>
        <w:t xml:space="preserve"> The hedges in place at 30 June 2026, which expired in August 2026, and the swap entered at the modification.</w:t>
      </w:r>
    </w:p>
    <w:p>
      <w:pPr>
        <w:pStyle w:val="ListBullet"/>
      </w:pPr>
      <w:r>
        <w:rPr>
          <w:rFonts w:ascii="Arial" w:hAnsi="Arial" w:eastAsia="Arial"/>
          <w:b/>
          <w:i w:val="0"/>
          <w:color w:val="2A3140"/>
          <w:sz w:val="21"/>
        </w:rPr>
        <w:t>Precedent (Exhibit 8).</w:t>
      </w:r>
      <w:r>
        <w:rPr>
          <w:rFonts w:ascii="Arial" w:hAnsi="Arial" w:eastAsia="Arial"/>
          <w:b w:val="0"/>
          <w:i w:val="0"/>
          <w:color w:val="2A3140"/>
          <w:sz w:val="21"/>
        </w:rPr>
        <w:t xml:space="preserve"> The lots' weakest filed periods next to the latest quarter.</w:t>
      </w:r>
    </w:p>
    <w:p>
      <w:pPr>
        <w:spacing w:before="200"/>
      </w:pPr>
      <w:r>
        <w:rPr>
          <w:rFonts w:ascii="Georgia" w:hAnsi="Georgia" w:eastAsia="Georgia"/>
          <w:b/>
          <w:i w:val="0"/>
          <w:color w:val="1E3A5F"/>
          <w:sz w:val="26"/>
        </w:rPr>
        <w:t>7. Term sheet (HYPOTHETICAL: the joint venture's requested terms)</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2674"/>
        <w:gridCol w:w="6686"/>
      </w:tblGrid>
      <w:tr>
        <w:tc>
          <w:tcPr>
            <w:tcW w:type="dxa" w:w="2674"/>
            <w:shd w:val="clear" w:color="auto" w:fill="E4EAF3"/>
          </w:tcPr>
          <w:p>
            <w:r>
              <w:rPr>
                <w:rFonts w:ascii="Arial" w:hAnsi="Arial" w:eastAsia="Arial"/>
                <w:b/>
                <w:i w:val="0"/>
                <w:color w:val="121826"/>
                <w:sz w:val="17"/>
              </w:rPr>
              <w:t>Term</w:t>
            </w:r>
          </w:p>
        </w:tc>
        <w:tc>
          <w:tcPr>
            <w:tcW w:type="dxa" w:w="6686"/>
            <w:shd w:val="clear" w:color="auto" w:fill="E4EAF3"/>
          </w:tcPr>
          <w:p>
            <w:r>
              <w:rPr>
                <w:rFonts w:ascii="Arial" w:hAnsi="Arial" w:eastAsia="Arial"/>
                <w:b/>
                <w:i w:val="0"/>
                <w:color w:val="121826"/>
                <w:sz w:val="17"/>
              </w:rPr>
              <w:t>Requested</w:t>
            </w:r>
          </w:p>
        </w:tc>
      </w:tr>
      <w:tr>
        <w:tc>
          <w:tcPr>
            <w:tcW w:type="dxa" w:w="2674"/>
          </w:tcPr>
          <w:p>
            <w:r>
              <w:rPr>
                <w:rFonts w:ascii="Arial" w:hAnsi="Arial" w:eastAsia="Arial"/>
                <w:b w:val="0"/>
                <w:i w:val="0"/>
                <w:color w:val="2A3140"/>
                <w:sz w:val="17"/>
              </w:rPr>
              <w:t>Borrowers and guarantors</w:t>
            </w:r>
          </w:p>
        </w:tc>
        <w:tc>
          <w:tcPr>
            <w:tcW w:type="dxa" w:w="6686"/>
          </w:tcPr>
          <w:p>
            <w:r>
              <w:rPr>
                <w:rFonts w:ascii="Arial" w:hAnsi="Arial" w:eastAsia="Arial"/>
                <w:b w:val="0"/>
                <w:i w:val="0"/>
                <w:color w:val="2A3140"/>
                <w:sz w:val="17"/>
              </w:rPr>
              <w:t>The joint venture's property-owning entities. Non-recourse, with customary carve-out guaranties and environmental indemnity from Hudson Pacific Properties, L.P. and a Blackstone Property Partners affiliate, as on the 2020 loan [S9]</w:t>
            </w:r>
          </w:p>
        </w:tc>
      </w:tr>
      <w:tr>
        <w:tc>
          <w:tcPr>
            <w:tcW w:type="dxa" w:w="2674"/>
          </w:tcPr>
          <w:p>
            <w:r>
              <w:rPr>
                <w:rFonts w:ascii="Arial" w:hAnsi="Arial" w:eastAsia="Arial"/>
                <w:b w:val="0"/>
                <w:i w:val="0"/>
                <w:color w:val="2A3140"/>
                <w:sz w:val="17"/>
              </w:rPr>
              <w:t>Facility</w:t>
            </w:r>
          </w:p>
        </w:tc>
        <w:tc>
          <w:tcPr>
            <w:tcW w:type="dxa" w:w="6686"/>
          </w:tcPr>
          <w:p>
            <w:r>
              <w:rPr>
                <w:rFonts w:ascii="Arial" w:hAnsi="Arial" w:eastAsia="Arial"/>
                <w:b w:val="0"/>
                <w:i w:val="0"/>
                <w:color w:val="2A3140"/>
                <w:sz w:val="17"/>
              </w:rPr>
              <w:t>$1,100.0M senior secured floating-rate first mortgage loan, single draw at closing</w:t>
            </w:r>
          </w:p>
        </w:tc>
      </w:tr>
      <w:tr>
        <w:tc>
          <w:tcPr>
            <w:tcW w:type="dxa" w:w="2674"/>
          </w:tcPr>
          <w:p>
            <w:r>
              <w:rPr>
                <w:rFonts w:ascii="Arial" w:hAnsi="Arial" w:eastAsia="Arial"/>
                <w:b w:val="0"/>
                <w:i w:val="0"/>
                <w:color w:val="2A3140"/>
                <w:sz w:val="17"/>
              </w:rPr>
              <w:t>Ranking and security</w:t>
            </w:r>
          </w:p>
        </w:tc>
        <w:tc>
          <w:tcPr>
            <w:tcW w:type="dxa" w:w="6686"/>
          </w:tcPr>
          <w:p>
            <w:r>
              <w:rPr>
                <w:rFonts w:ascii="Arial" w:hAnsi="Arial" w:eastAsia="Arial"/>
                <w:b w:val="0"/>
                <w:i w:val="0"/>
                <w:color w:val="2A3140"/>
                <w:sz w:val="17"/>
              </w:rPr>
              <w:t>First-priority mortgages on all eight properties; assignment of leases and rents; pledge of reserve accounts; hard lockbox with springing cash management</w:t>
            </w:r>
          </w:p>
        </w:tc>
      </w:tr>
      <w:tr>
        <w:tc>
          <w:tcPr>
            <w:tcW w:type="dxa" w:w="2674"/>
          </w:tcPr>
          <w:p>
            <w:r>
              <w:rPr>
                <w:rFonts w:ascii="Arial" w:hAnsi="Arial" w:eastAsia="Arial"/>
                <w:b w:val="0"/>
                <w:i w:val="0"/>
                <w:color w:val="2A3140"/>
                <w:sz w:val="17"/>
              </w:rPr>
              <w:t>Tenor and maturity</w:t>
            </w:r>
          </w:p>
        </w:tc>
        <w:tc>
          <w:tcPr>
            <w:tcW w:type="dxa" w:w="6686"/>
          </w:tcPr>
          <w:p>
            <w:r>
              <w:rPr>
                <w:rFonts w:ascii="Arial" w:hAnsi="Arial" w:eastAsia="Arial"/>
                <w:b w:val="0"/>
                <w:i w:val="0"/>
                <w:color w:val="2A3140"/>
                <w:sz w:val="17"/>
              </w:rPr>
              <w:t>Three-year initial term from closing, plus two one-year extension options. No springing maturity: the borrowers have no other debt</w:t>
            </w:r>
          </w:p>
        </w:tc>
      </w:tr>
      <w:tr>
        <w:tc>
          <w:tcPr>
            <w:tcW w:type="dxa" w:w="2674"/>
          </w:tcPr>
          <w:p>
            <w:r>
              <w:rPr>
                <w:rFonts w:ascii="Arial" w:hAnsi="Arial" w:eastAsia="Arial"/>
                <w:b w:val="0"/>
                <w:i w:val="0"/>
                <w:color w:val="2A3140"/>
                <w:sz w:val="17"/>
              </w:rPr>
              <w:t>Pricing</w:t>
            </w:r>
          </w:p>
        </w:tc>
        <w:tc>
          <w:tcPr>
            <w:tcW w:type="dxa" w:w="6686"/>
          </w:tcPr>
          <w:p>
            <w:r>
              <w:rPr>
                <w:rFonts w:ascii="Arial" w:hAnsi="Arial" w:eastAsia="Arial"/>
                <w:b w:val="0"/>
                <w:i w:val="0"/>
                <w:color w:val="2A3140"/>
                <w:sz w:val="17"/>
              </w:rPr>
              <w:t>1M CME Term SOFR + 325bp; SOFR floor 2.00%; origination fee 1.00%; exit fee 0.25%; extension fee 0.25% per option; no ticking fee</w:t>
            </w:r>
          </w:p>
        </w:tc>
      </w:tr>
      <w:tr>
        <w:tc>
          <w:tcPr>
            <w:tcW w:type="dxa" w:w="2674"/>
          </w:tcPr>
          <w:p>
            <w:r>
              <w:rPr>
                <w:rFonts w:ascii="Arial" w:hAnsi="Arial" w:eastAsia="Arial"/>
                <w:b w:val="0"/>
                <w:i w:val="0"/>
                <w:color w:val="2A3140"/>
                <w:sz w:val="17"/>
              </w:rPr>
              <w:t>Call protection</w:t>
            </w:r>
          </w:p>
        </w:tc>
        <w:tc>
          <w:tcPr>
            <w:tcW w:type="dxa" w:w="6686"/>
          </w:tcPr>
          <w:p>
            <w:r>
              <w:rPr>
                <w:rFonts w:ascii="Arial" w:hAnsi="Arial" w:eastAsia="Arial"/>
                <w:b w:val="0"/>
                <w:i w:val="0"/>
                <w:color w:val="2A3140"/>
                <w:sz w:val="17"/>
              </w:rPr>
              <w:t>12 months of spread maintenance, then prepayable at par plus the exit fee</w:t>
            </w:r>
          </w:p>
        </w:tc>
      </w:tr>
      <w:tr>
        <w:tc>
          <w:tcPr>
            <w:tcW w:type="dxa" w:w="2674"/>
          </w:tcPr>
          <w:p>
            <w:r>
              <w:rPr>
                <w:rFonts w:ascii="Arial" w:hAnsi="Arial" w:eastAsia="Arial"/>
                <w:b w:val="0"/>
                <w:i w:val="0"/>
                <w:color w:val="2A3140"/>
                <w:sz w:val="17"/>
              </w:rPr>
              <w:t>Amortisation</w:t>
            </w:r>
          </w:p>
        </w:tc>
        <w:tc>
          <w:tcPr>
            <w:tcW w:type="dxa" w:w="6686"/>
          </w:tcPr>
          <w:p>
            <w:r>
              <w:rPr>
                <w:rFonts w:ascii="Arial" w:hAnsi="Arial" w:eastAsia="Arial"/>
                <w:b w:val="0"/>
                <w:i w:val="0"/>
                <w:color w:val="2A3140"/>
                <w:sz w:val="17"/>
              </w:rPr>
              <w:t>None (interest-only)</w:t>
            </w:r>
          </w:p>
        </w:tc>
      </w:tr>
      <w:tr>
        <w:tc>
          <w:tcPr>
            <w:tcW w:type="dxa" w:w="2674"/>
          </w:tcPr>
          <w:p>
            <w:r>
              <w:rPr>
                <w:rFonts w:ascii="Arial" w:hAnsi="Arial" w:eastAsia="Arial"/>
                <w:b w:val="0"/>
                <w:i w:val="0"/>
                <w:color w:val="2A3140"/>
                <w:sz w:val="17"/>
              </w:rPr>
              <w:t>Financial covenants</w:t>
            </w:r>
          </w:p>
        </w:tc>
        <w:tc>
          <w:tcPr>
            <w:tcW w:type="dxa" w:w="6686"/>
          </w:tcPr>
          <w:p>
            <w:r>
              <w:rPr>
                <w:rFonts w:ascii="Arial" w:hAnsi="Arial" w:eastAsia="Arial"/>
                <w:b w:val="0"/>
                <w:i w:val="0"/>
                <w:color w:val="2A3140"/>
                <w:sz w:val="17"/>
              </w:rPr>
              <w:t>No maintenance covenants. Cash trap if debt yield is below 7.0%, where debt yield = trailing-12-month net cash flow (NCF, after reserves) ÷ outstanding principal, tested quarterly. Cured by two consecutive quarters at or above 7.0% or a paydown that restores it</w:t>
            </w:r>
          </w:p>
        </w:tc>
      </w:tr>
      <w:tr>
        <w:tc>
          <w:tcPr>
            <w:tcW w:type="dxa" w:w="2674"/>
          </w:tcPr>
          <w:p>
            <w:r>
              <w:rPr>
                <w:rFonts w:ascii="Arial" w:hAnsi="Arial" w:eastAsia="Arial"/>
                <w:b w:val="0"/>
                <w:i w:val="0"/>
                <w:color w:val="2A3140"/>
                <w:sz w:val="17"/>
              </w:rPr>
              <w:t>Key negative covenants</w:t>
            </w:r>
          </w:p>
        </w:tc>
        <w:tc>
          <w:tcPr>
            <w:tcW w:type="dxa" w:w="6686"/>
          </w:tcPr>
          <w:p>
            <w:r>
              <w:rPr>
                <w:rFonts w:ascii="Arial" w:hAnsi="Arial" w:eastAsia="Arial"/>
                <w:b w:val="0"/>
                <w:i w:val="0"/>
                <w:color w:val="2A3140"/>
                <w:sz w:val="17"/>
              </w:rPr>
              <w:t>No other debt beyond trade payables and equipment leases up to $10.0M; no mezzanine or preferred equity without consent; no distributions during a cash trap; transfers allowed between HPP and Blackstone affiliates</w:t>
            </w:r>
          </w:p>
        </w:tc>
      </w:tr>
      <w:tr>
        <w:tc>
          <w:tcPr>
            <w:tcW w:type="dxa" w:w="2674"/>
          </w:tcPr>
          <w:p>
            <w:r>
              <w:rPr>
                <w:rFonts w:ascii="Arial" w:hAnsi="Arial" w:eastAsia="Arial"/>
                <w:b w:val="0"/>
                <w:i w:val="0"/>
                <w:color w:val="2A3140"/>
                <w:sz w:val="17"/>
              </w:rPr>
              <w:t>Mandatory prepayments</w:t>
            </w:r>
          </w:p>
        </w:tc>
        <w:tc>
          <w:tcPr>
            <w:tcW w:type="dxa" w:w="6686"/>
          </w:tcPr>
          <w:p>
            <w:r>
              <w:rPr>
                <w:rFonts w:ascii="Arial" w:hAnsi="Arial" w:eastAsia="Arial"/>
                <w:b w:val="0"/>
                <w:i w:val="0"/>
                <w:color w:val="2A3140"/>
                <w:sz w:val="17"/>
              </w:rPr>
              <w:t>Property releases at 110.0% of the allocated loan amount, provided the debt yield after release is not lower; casualty and condemnation proceeds; excess cash during a cash trap</w:t>
            </w:r>
          </w:p>
        </w:tc>
      </w:tr>
      <w:tr>
        <w:tc>
          <w:tcPr>
            <w:tcW w:type="dxa" w:w="2674"/>
          </w:tcPr>
          <w:p>
            <w:r>
              <w:rPr>
                <w:rFonts w:ascii="Arial" w:hAnsi="Arial" w:eastAsia="Arial"/>
                <w:b w:val="0"/>
                <w:i w:val="0"/>
                <w:color w:val="2A3140"/>
                <w:sz w:val="17"/>
              </w:rPr>
              <w:t>Reporting</w:t>
            </w:r>
          </w:p>
        </w:tc>
        <w:tc>
          <w:tcPr>
            <w:tcW w:type="dxa" w:w="6686"/>
          </w:tcPr>
          <w:p>
            <w:r>
              <w:rPr>
                <w:rFonts w:ascii="Arial" w:hAnsi="Arial" w:eastAsia="Arial"/>
                <w:b w:val="0"/>
                <w:i w:val="0"/>
                <w:color w:val="2A3140"/>
                <w:sz w:val="17"/>
              </w:rPr>
              <w:t>Monthly rent roll and stage occupancy; quarterly operating statements and compliance certificate; audited joint-venture financial statements within 120 days of year-end; annual budget</w:t>
            </w:r>
          </w:p>
        </w:tc>
      </w:tr>
      <w:tr>
        <w:tc>
          <w:tcPr>
            <w:tcW w:type="dxa" w:w="2674"/>
          </w:tcPr>
          <w:p>
            <w:r>
              <w:rPr>
                <w:rFonts w:ascii="Arial" w:hAnsi="Arial" w:eastAsia="Arial"/>
                <w:b w:val="0"/>
                <w:i w:val="0"/>
                <w:color w:val="2A3140"/>
                <w:sz w:val="17"/>
              </w:rPr>
              <w:t>Rate cap</w:t>
            </w:r>
          </w:p>
        </w:tc>
        <w:tc>
          <w:tcPr>
            <w:tcW w:type="dxa" w:w="6686"/>
          </w:tcPr>
          <w:p>
            <w:r>
              <w:rPr>
                <w:rFonts w:ascii="Arial" w:hAnsi="Arial" w:eastAsia="Arial"/>
                <w:b w:val="0"/>
                <w:i w:val="0"/>
                <w:color w:val="2A3140"/>
                <w:sz w:val="17"/>
              </w:rPr>
              <w:t>Cap on 1M Term SOFR at a 5.00% strike for the initial term, notional equal to the loan, from a counterparty rated A or better; replaced at each extension at a strike chosen by the borrowers</w:t>
            </w:r>
          </w:p>
        </w:tc>
      </w:tr>
      <w:tr>
        <w:tc>
          <w:tcPr>
            <w:tcW w:type="dxa" w:w="2674"/>
          </w:tcPr>
          <w:p>
            <w:r>
              <w:rPr>
                <w:rFonts w:ascii="Arial" w:hAnsi="Arial" w:eastAsia="Arial"/>
                <w:b w:val="0"/>
                <w:i w:val="0"/>
                <w:color w:val="2A3140"/>
                <w:sz w:val="17"/>
              </w:rPr>
              <w:t>Reserves</w:t>
            </w:r>
          </w:p>
        </w:tc>
        <w:tc>
          <w:tcPr>
            <w:tcW w:type="dxa" w:w="6686"/>
          </w:tcPr>
          <w:p>
            <w:r>
              <w:rPr>
                <w:rFonts w:ascii="Arial" w:hAnsi="Arial" w:eastAsia="Arial"/>
                <w:b w:val="0"/>
                <w:i w:val="0"/>
                <w:color w:val="2A3140"/>
                <w:sz w:val="17"/>
              </w:rPr>
              <w:t>$20.0M TI/LC reserve at closing; replacement reserve $0.25 per sq ft per year; tax and insurance reserves springing</w:t>
            </w:r>
          </w:p>
        </w:tc>
      </w:tr>
      <w:tr>
        <w:tc>
          <w:tcPr>
            <w:tcW w:type="dxa" w:w="2674"/>
          </w:tcPr>
          <w:p>
            <w:r>
              <w:rPr>
                <w:rFonts w:ascii="Arial" w:hAnsi="Arial" w:eastAsia="Arial"/>
                <w:b w:val="0"/>
                <w:i w:val="0"/>
                <w:color w:val="2A3140"/>
                <w:sz w:val="17"/>
              </w:rPr>
              <w:t>Extension tests</w:t>
            </w:r>
          </w:p>
        </w:tc>
        <w:tc>
          <w:tcPr>
            <w:tcW w:type="dxa" w:w="6686"/>
          </w:tcPr>
          <w:p>
            <w:r>
              <w:rPr>
                <w:rFonts w:ascii="Arial" w:hAnsi="Arial" w:eastAsia="Arial"/>
                <w:b w:val="0"/>
                <w:i w:val="0"/>
                <w:color w:val="2A3140"/>
                <w:sz w:val="17"/>
              </w:rPr>
              <w:t>NCF debt yield of at least 8.0% on trailing-12-month NCF; no event of default; new rate cap purchased</w:t>
            </w:r>
          </w:p>
        </w:tc>
      </w:tr>
    </w:tbl>
    <w:p>
      <w:pPr>
        <w:spacing w:after="40"/>
      </w:pPr>
    </w:p>
    <w:p>
      <w:r>
        <w:rPr>
          <w:rFonts w:ascii="Arial" w:hAnsi="Arial" w:eastAsia="Arial"/>
          <w:b w:val="0"/>
          <w:i/>
          <w:color w:val="5B6475"/>
          <w:sz w:val="16"/>
        </w:rPr>
        <w:t>Source: HYPOTHETICAL request prepared for this case.</w:t>
      </w:r>
    </w:p>
    <w:p>
      <w:pPr>
        <w:spacing w:before="200"/>
      </w:pPr>
      <w:r>
        <w:rPr>
          <w:rFonts w:ascii="Georgia" w:hAnsi="Georgia" w:eastAsia="Georgia"/>
          <w:b/>
          <w:i w:val="0"/>
          <w:color w:val="1E3A5F"/>
          <w:sz w:val="26"/>
        </w:rPr>
        <w:t>8. Diligence findings</w:t>
      </w:r>
    </w:p>
    <w:p>
      <w:pPr>
        <w:pStyle w:val="ListBullet"/>
      </w:pPr>
      <w:r>
        <w:rPr>
          <w:rFonts w:ascii="Arial" w:hAnsi="Arial" w:eastAsia="Arial"/>
          <w:b/>
          <w:i w:val="0"/>
          <w:color w:val="2A3140"/>
          <w:sz w:val="21"/>
        </w:rPr>
        <w:t>Special servicing and ratings.</w:t>
      </w:r>
      <w:r>
        <w:rPr>
          <w:rFonts w:ascii="Arial" w:hAnsi="Arial" w:eastAsia="Arial"/>
          <w:b w:val="0"/>
          <w:i w:val="0"/>
          <w:color w:val="2A3140"/>
          <w:sz w:val="21"/>
        </w:rPr>
        <w:t xml:space="preserve"> Bisnow reports the loan moved to special servicing in August 2026, days before the 9 August maturity [S13]; Fitch's September action (secondary report) dates the transfer to July [S12]. Trepp does not name loans, but its August 2026 special-servicing commentary counts a $1.10bn Hollywood studio-and-office loan as the month's largest new transfer [S22], and its September 2026 delinquency report lists a $1.10bn eight-property Los Angeles studio-and-office portfolio loan among the five largest newly delinquent loans, as a non-performing matured balloon whose extension was still being negotiated [S14]. Size, property count, use and location match this loan; the 9 September modification post-dates the reporting. Morningstar DBRS downgraded two classes in February 2026, valuing the portfolio at $938.3M on $75.0M of NCF [S11]. Fitch revised the outlook to Negative on 23 September 2026 [S12].</w:t>
      </w:r>
    </w:p>
    <w:p>
      <w:pPr>
        <w:pStyle w:val="ListBullet"/>
      </w:pPr>
      <w:r>
        <w:rPr>
          <w:rFonts w:ascii="Arial" w:hAnsi="Arial" w:eastAsia="Arial"/>
          <w:b/>
          <w:i w:val="0"/>
          <w:color w:val="2A3140"/>
          <w:sz w:val="21"/>
        </w:rPr>
        <w:t>Occupancy on the servicer's basis.</w:t>
      </w:r>
      <w:r>
        <w:rPr>
          <w:rFonts w:ascii="Arial" w:hAnsi="Arial" w:eastAsia="Arial"/>
          <w:b w:val="0"/>
          <w:i w:val="0"/>
          <w:color w:val="2A3140"/>
          <w:sz w:val="21"/>
        </w:rPr>
        <w:t xml:space="preserve"> The September 2025 rent roll showed 91.0% occupancy: office 90.0%, studio 92.7% [S11]. HPP reports the four in-service office buildings at 100%.</w:t>
      </w:r>
    </w:p>
    <w:p>
      <w:pPr>
        <w:pStyle w:val="ListBullet"/>
      </w:pPr>
      <w:r>
        <w:rPr>
          <w:rFonts w:ascii="Arial" w:hAnsi="Arial" w:eastAsia="Arial"/>
          <w:b/>
          <w:i w:val="0"/>
          <w:color w:val="2A3140"/>
          <w:sz w:val="21"/>
        </w:rPr>
        <w:t>Cross-default.</w:t>
      </w:r>
      <w:r>
        <w:rPr>
          <w:rFonts w:ascii="Arial" w:hAnsi="Arial" w:eastAsia="Arial"/>
          <w:b w:val="0"/>
          <w:i w:val="0"/>
          <w:color w:val="2A3140"/>
          <w:sz w:val="21"/>
        </w:rPr>
        <w:t xml:space="preserve"> On 31 July 2026 HPP's revolving lenders agreed that this loan, the Hill7 loan and the Sunset Glenoaks loan would not count as Material Indebtedness for cross-default [S1].</w:t>
      </w:r>
    </w:p>
    <w:p>
      <w:pPr>
        <w:pStyle w:val="ListBullet"/>
      </w:pPr>
      <w:r>
        <w:rPr>
          <w:rFonts w:ascii="Arial" w:hAnsi="Arial" w:eastAsia="Arial"/>
          <w:b/>
          <w:i w:val="0"/>
          <w:color w:val="2A3140"/>
          <w:sz w:val="21"/>
        </w:rPr>
        <w:t>Largest tenant.</w:t>
      </w:r>
      <w:r>
        <w:rPr>
          <w:rFonts w:ascii="Arial" w:hAnsi="Arial" w:eastAsia="Arial"/>
          <w:b w:val="0"/>
          <w:i w:val="0"/>
          <w:color w:val="2A3140"/>
          <w:sz w:val="21"/>
        </w:rPr>
        <w:t xml:space="preserve"> Netflix bought Radford Studio Center in June 2026 [S13]. Morningstar DBRS notes that the portfolio's largest tenant has announced the acquisition of another major media and entertainment group, including its film and television studios, and flags the risk that the combined company consolidates its office and studio space [S11].</w:t>
      </w:r>
    </w:p>
    <w:p>
      <w:pPr>
        <w:pStyle w:val="ListBullet"/>
      </w:pPr>
      <w:r>
        <w:rPr>
          <w:rFonts w:ascii="Arial" w:hAnsi="Arial" w:eastAsia="Arial"/>
          <w:b/>
          <w:i w:val="0"/>
          <w:color w:val="2A3140"/>
          <w:sz w:val="21"/>
        </w:rPr>
        <w:t>Appraisal.</w:t>
      </w:r>
      <w:r>
        <w:rPr>
          <w:rFonts w:ascii="Arial" w:hAnsi="Arial" w:eastAsia="Arial"/>
          <w:b w:val="0"/>
          <w:i w:val="0"/>
          <w:color w:val="2A3140"/>
          <w:sz w:val="21"/>
        </w:rPr>
        <w:t xml:space="preserve"> Larkspur has ordered a third-party appraisal; it will not arrive before IC (HYPOTHETICAL).</w:t>
      </w:r>
    </w:p>
    <w:p>
      <w:pPr>
        <w:pStyle w:val="ListBullet"/>
      </w:pPr>
      <w:r>
        <w:rPr>
          <w:rFonts w:ascii="Arial" w:hAnsi="Arial" w:eastAsia="Arial"/>
          <w:b/>
          <w:i w:val="0"/>
          <w:color w:val="2A3140"/>
          <w:sz w:val="21"/>
        </w:rPr>
        <w:t>Sponsor activity.</w:t>
      </w:r>
      <w:r>
        <w:rPr>
          <w:rFonts w:ascii="Arial" w:hAnsi="Arial" w:eastAsia="Arial"/>
          <w:b w:val="0"/>
          <w:i w:val="0"/>
          <w:color w:val="2A3140"/>
          <w:sz w:val="21"/>
        </w:rPr>
        <w:t xml:space="preserve"> In October 2026 HPP launched a cash tender for up to $200.0M of its 2027 and 2028 notes at 98.00 and 99.125 per 100 [S8].</w:t>
      </w:r>
    </w:p>
    <w:p>
      <w:pPr>
        <w:spacing w:before="200"/>
      </w:pPr>
      <w:r>
        <w:rPr>
          <w:rFonts w:ascii="Georgia" w:hAnsi="Georgia" w:eastAsia="Georgia"/>
          <w:b/>
          <w:i w:val="0"/>
          <w:color w:val="1E3A5F"/>
          <w:sz w:val="26"/>
        </w:rPr>
        <w:t>9. Questions</w:t>
      </w:r>
    </w:p>
    <w:p>
      <w:r>
        <w:rPr>
          <w:rFonts w:ascii="Arial" w:hAnsi="Arial" w:eastAsia="Arial"/>
          <w:b w:val="0"/>
          <w:i w:val="0"/>
          <w:color w:val="2A3140"/>
          <w:sz w:val="21"/>
        </w:rPr>
        <w:t xml:space="preserve">1. </w:t>
      </w:r>
      <w:r>
        <w:rPr>
          <w:rFonts w:ascii="Arial" w:hAnsi="Arial" w:eastAsia="Arial"/>
          <w:b/>
          <w:i w:val="0"/>
          <w:color w:val="2A3140"/>
          <w:sz w:val="21"/>
        </w:rPr>
        <w:t>Underwritten NCF and base metrics.</w:t>
      </w:r>
      <w:r>
        <w:rPr>
          <w:rFonts w:ascii="Arial" w:hAnsi="Arial" w:eastAsia="Arial"/>
          <w:b w:val="0"/>
          <w:i w:val="0"/>
          <w:color w:val="2A3140"/>
          <w:sz w:val="21"/>
        </w:rPr>
        <w:t xml:space="preserve"> Build your underwritten net cash flow (NCF) for the portfolio on a 100% basis from Exhibits 1–4, stating each adjustment and its source. Reconcile it to the servicer-reported NCF and the rating agencies' sustainable NCF. On the requested $1,100.0M loan, compute the NCF debt yield; the interest-only debt service coverage ratio (DSCR) at 1M CME Term SOFR of 3.925% (9 October 2026) plus the requested margin, and at the cap strike; and loan-to-value (LTV) across a cap-rate range you justify from Exhibits 4 and 6.</w:t>
      </w:r>
    </w:p>
    <w:p>
      <w:r>
        <w:rPr>
          <w:rFonts w:ascii="Arial" w:hAnsi="Arial" w:eastAsia="Arial"/>
          <w:b w:val="0"/>
          <w:i w:val="0"/>
          <w:color w:val="2A3140"/>
          <w:sz w:val="21"/>
        </w:rPr>
        <w:t xml:space="preserve">2. </w:t>
      </w:r>
      <w:r>
        <w:rPr>
          <w:rFonts w:ascii="Arial" w:hAnsi="Arial" w:eastAsia="Arial"/>
          <w:b/>
          <w:i w:val="0"/>
          <w:color w:val="2A3140"/>
          <w:sz w:val="21"/>
        </w:rPr>
        <w:t>Pricing and terms against the market.</w:t>
      </w:r>
      <w:r>
        <w:rPr>
          <w:rFonts w:ascii="Arial" w:hAnsi="Arial" w:eastAsia="Arial"/>
          <w:b w:val="0"/>
          <w:i w:val="0"/>
          <w:color w:val="2A3140"/>
          <w:sz w:val="21"/>
        </w:rPr>
        <w:t xml:space="preserve"> Compare the requested margin, fee, leverage and debt-yield tests with the dated bands in Exhibit 6 (Piccard office bridge, CBRE averages, CRED iQ new-issue office) and with the yields on HPP's own unsecured notes at the October tender prices (Exhibit 7). Say which comparator fits this collateral and why, and state the margin, fees, rate cap, reserves and cash-management terms you would require.</w:t>
      </w:r>
    </w:p>
    <w:p>
      <w:r>
        <w:rPr>
          <w:rFonts w:ascii="Arial" w:hAnsi="Arial" w:eastAsia="Arial"/>
          <w:b w:val="0"/>
          <w:i w:val="0"/>
          <w:color w:val="2A3140"/>
          <w:sz w:val="21"/>
        </w:rPr>
        <w:t xml:space="preserve">3. </w:t>
      </w:r>
      <w:r>
        <w:rPr>
          <w:rFonts w:ascii="Arial" w:hAnsi="Arial" w:eastAsia="Arial"/>
          <w:b/>
          <w:i w:val="0"/>
          <w:color w:val="2A3140"/>
          <w:sz w:val="21"/>
        </w:rPr>
        <w:t>Sizing a counter-proposal.</w:t>
      </w:r>
      <w:r>
        <w:rPr>
          <w:rFonts w:ascii="Arial" w:hAnsi="Arial" w:eastAsia="Arial"/>
          <w:b w:val="0"/>
          <w:i w:val="0"/>
          <w:color w:val="2A3140"/>
          <w:sz w:val="21"/>
        </w:rPr>
        <w:t xml:space="preserve"> Size the largest loan you would offer on (a) a minimum NCF debt yield and (b) a maximum LTV on a cap rate you justify. State which constraint binds, the paydown the joint venture would need at closing, and whether each partner can fund its share, using HPP's liquidity, maturities and covenants in Exhibit 7.</w:t>
      </w:r>
    </w:p>
    <w:p>
      <w:r>
        <w:rPr>
          <w:rFonts w:ascii="Arial" w:hAnsi="Arial" w:eastAsia="Arial"/>
          <w:b w:val="0"/>
          <w:i w:val="0"/>
          <w:color w:val="2A3140"/>
          <w:sz w:val="21"/>
        </w:rPr>
        <w:t xml:space="preserve">4. </w:t>
      </w:r>
      <w:r>
        <w:rPr>
          <w:rFonts w:ascii="Arial" w:hAnsi="Arial" w:eastAsia="Arial"/>
          <w:b/>
          <w:i w:val="0"/>
          <w:color w:val="2A3140"/>
          <w:sz w:val="21"/>
        </w:rPr>
        <w:t>Downside.</w:t>
      </w:r>
      <w:r>
        <w:rPr>
          <w:rFonts w:ascii="Arial" w:hAnsi="Arial" w:eastAsia="Arial"/>
          <w:b w:val="0"/>
          <w:i w:val="0"/>
          <w:color w:val="2A3140"/>
          <w:sz w:val="21"/>
        </w:rPr>
        <w:t xml:space="preserve"> Stress your underwriting for: (i) studio NOI at the lots' own weakest filed period (Exhibits 2 and 8; say which period and how you annualise it); (ii) the tenant expiries in Exhibit 3 to January 2027, with your re-leasing assumption; (iii) an exit cap rate 100bp and 200bp above your base at initial maturity; and (iv) the forward curve 100bp higher, with and without the cap. Report NCF debt yield, DSCR and LTV in each case, and the refinancing gap at the initial and fully extended maturities.</w:t>
      </w:r>
    </w:p>
    <w:p>
      <w:r>
        <w:rPr>
          <w:rFonts w:ascii="Arial" w:hAnsi="Arial" w:eastAsia="Arial"/>
          <w:b w:val="0"/>
          <w:i w:val="0"/>
          <w:color w:val="2A3140"/>
          <w:sz w:val="21"/>
        </w:rPr>
        <w:t xml:space="preserve">5. </w:t>
      </w:r>
      <w:r>
        <w:rPr>
          <w:rFonts w:ascii="Arial" w:hAnsi="Arial" w:eastAsia="Arial"/>
          <w:b/>
          <w:i w:val="0"/>
          <w:color w:val="2A3140"/>
          <w:sz w:val="21"/>
        </w:rPr>
        <w:t>Recommendation.</w:t>
      </w:r>
      <w:r>
        <w:rPr>
          <w:rFonts w:ascii="Arial" w:hAnsi="Arial" w:eastAsia="Arial"/>
          <w:b w:val="0"/>
          <w:i w:val="0"/>
          <w:color w:val="2A3140"/>
          <w:sz w:val="21"/>
        </w:rPr>
        <w:t xml:space="preserve"> Recommend approve, decline or counter. Give hold size, pricing, structure, the conditions precedent and the diligence you need before closing, and what would change your view.</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eastAsia="Arial"/>
        <w:b w:val="0"/>
        <w:i w:val="0"/>
        <w:color w:val="5B6475"/>
        <w:sz w:val="16"/>
      </w:rPr>
      <w:t xml:space="preserve">IC Simulator · Hollywood Media Portfolio · Advanced · Practice use only · Page </w:t>
    </w:r>
    <w:r>
      <w:rPr>
        <w:color w:val="5B6475"/>
        <w:sz w:val="16"/>
      </w:rPr>
      <w:fldChar w:fldCharType="begin"/>
    </w:r>
    <w:r>
      <w:rPr>
        <w:color w:val="5B6475"/>
        <w:sz w:val="16"/>
      </w:rPr>
      <w:instrText xml:space="preserve">PAGE</w:instrText>
    </w:r>
    <w:r>
      <w:rPr>
        <w:color w:val="5B6475"/>
        <w:sz w:val="16"/>
      </w:rPr>
      <w:fldChar w:fldCharType="end"/>
    </w:r>
    <w:r>
      <w:rPr>
        <w:rFonts w:ascii="Arial" w:hAnsi="Arial" w:eastAsia="Arial"/>
        <w:b w:val="0"/>
        <w:i w:val="0"/>
        <w:color w:val="5B6475"/>
        <w:sz w:val="16"/>
      </w:rPr>
      <w:t xml:space="preserve"> of </w:t>
    </w:r>
    <w:r>
      <w:rPr>
        <w:color w:val="5B6475"/>
        <w:sz w:val="16"/>
      </w:rPr>
      <w:fldChar w:fldCharType="begin"/>
    </w:r>
    <w:r>
      <w:rPr>
        <w:color w:val="5B6475"/>
        <w:sz w:val="16"/>
      </w:rPr>
      <w:instrText xml:space="preserve">NUMPAGES</w:instrText>
    </w:r>
    <w:r>
      <w:rPr>
        <w:color w:val="5B647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val="0"/>
        <w:i w:val="0"/>
        <w:color w:val="5B6475"/>
        <w:sz w:val="16"/>
      </w:rPr>
      <w:t>Hollywood Media Portfolio · Case packet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A31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Hollywood Media Portfolio · Case packet</dc:title>
  <dc:subject/>
  <dc:creator>IC Simulator</dc:creator>
  <cp:keywords/>
  <dc:description>generated by python-docx</dc:description>
  <cp:lastModifiedBy/>
  <cp:revision>1</cp:revision>
  <dcterms:created xsi:type="dcterms:W3CDTF">2013-12-23T23:15:00Z</dcterms:created>
  <dcterms:modified xsi:type="dcterms:W3CDTF">2013-12-23T23:15:00Z</dcterms:modified>
  <cp:category/>
</cp:coreProperties>
</file>