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eastAsia="Georgia"/>
          <w:b w:val="0"/>
          <w:i w:val="0"/>
          <w:color w:val="121826"/>
          <w:sz w:val="36"/>
        </w:rPr>
        <w:t>Oportun: refinancing the 15% corporate loan</w:t>
      </w:r>
    </w:p>
    <w:p>
      <w:r>
        <w:rPr>
          <w:rFonts w:ascii="Arial" w:hAnsi="Arial" w:eastAsia="Arial"/>
          <w:b w:val="0"/>
          <w:i/>
          <w:color w:val="2A3140"/>
          <w:sz w:val="21"/>
        </w:rPr>
        <w:t>Asset-based &amp; specialty finance · Intermediate · From SEC filings · About 210 minutes (half day) · Version 1, 12 Oct 2026 · Uncalibrated · Practice use only</w:t>
      </w:r>
    </w:p>
    <w:p>
      <w:pPr>
        <w:ind w:left="360"/>
        <w:shd w:val="clear" w:fill="F2F4F8"/>
      </w:pPr>
      <w:r>
        <w:rPr>
          <w:rFonts w:ascii="Arial" w:hAnsi="Arial" w:eastAsia="Arial"/>
          <w:b/>
          <w:i w:val="0"/>
          <w:color w:val="2A3140"/>
          <w:sz w:val="19"/>
        </w:rPr>
        <w:t>About this case.</w:t>
      </w:r>
      <w:r>
        <w:rPr>
          <w:rFonts w:ascii="Arial" w:hAnsi="Arial" w:eastAsia="Arial"/>
          <w:b w:val="0"/>
          <w:i w:val="0"/>
          <w:color w:val="2A3140"/>
          <w:sz w:val="19"/>
        </w:rPr>
        <w:t xml:space="preserve"> Oportun Financial Corporation (NASDAQ: OPRT) and every historical figure are real and come from its SEC filings, its securitization offering memorandum and the market sources listed in the workbook README. The refinancing request, the lender (Tamsin Credit Partners) and every proposed term are hypothetical and were written for training. Financial data are to 30 Jun 2026; market data are to 9 Oct 2026. Exhibits 1–7 are in exhibits-oportun-corporate-loan-refi.xlsx.</w:t>
      </w:r>
    </w:p>
    <w:p>
      <w:pPr>
        <w:spacing w:before="240"/>
      </w:pPr>
      <w:r>
        <w:rPr>
          <w:rFonts w:ascii="Georgia" w:hAnsi="Georgia" w:eastAsia="Georgia"/>
          <w:b/>
          <w:i w:val="0"/>
          <w:color w:val="1E3A5F"/>
          <w:sz w:val="26"/>
        </w:rPr>
        <w:t>0. The ask</w:t>
      </w:r>
    </w:p>
    <w:p>
      <w:r>
        <w:rPr>
          <w:rFonts w:ascii="Arial" w:hAnsi="Arial" w:eastAsia="Arial"/>
          <w:b w:val="0"/>
          <w:i w:val="0"/>
          <w:color w:val="2A3140"/>
          <w:sz w:val="21"/>
        </w:rPr>
        <w:t>You are an associate in the specialty finance team at Tamsin Credit Partners, a private credit manager. Oportun has asked Tamsin to refinance its 15.00% senior secured corporate term loan with a new $150.0M term loan priced at 3M Term SOFR + 7.50%. The investment committee meets on Thursday 22 Oct 2026. It wants to know whether a corporate loan to a non-prime consumer lender, which sits behind about $2.5bn of securitization and warehouse debt, is a credit Tamsin should own at this price and on these terms.</w:t>
      </w:r>
    </w:p>
    <w:p>
      <w:r>
        <w:rPr>
          <w:rFonts w:ascii="Arial" w:hAnsi="Arial" w:eastAsia="Arial"/>
          <w:b/>
          <w:i w:val="0"/>
          <w:color w:val="2A3140"/>
          <w:sz w:val="21"/>
        </w:rPr>
        <w:t>Deliverables:</w:t>
      </w:r>
      <w:r>
        <w:rPr>
          <w:rFonts w:ascii="Arial" w:hAnsi="Arial" w:eastAsia="Arial"/>
          <w:b w:val="0"/>
          <w:i w:val="0"/>
          <w:color w:val="2A3140"/>
          <w:sz w:val="21"/>
        </w:rPr>
        <w:t xml:space="preserve"> a credit memo of 1,200–2,000 words, your model and a five-slide deck. </w:t>
      </w:r>
      <w:r>
        <w:rPr>
          <w:rFonts w:ascii="Arial" w:hAnsi="Arial" w:eastAsia="Arial"/>
          <w:b/>
          <w:i w:val="0"/>
          <w:color w:val="2A3140"/>
          <w:sz w:val="21"/>
        </w:rPr>
        <w:t>Time budget:</w:t>
      </w:r>
      <w:r>
        <w:rPr>
          <w:rFonts w:ascii="Arial" w:hAnsi="Arial" w:eastAsia="Arial"/>
          <w:b w:val="0"/>
          <w:i w:val="0"/>
          <w:color w:val="2A3140"/>
          <w:sz w:val="21"/>
        </w:rPr>
        <w:t xml:space="preserve"> half a day (3–4 hours).</w:t>
      </w:r>
    </w:p>
    <w:p>
      <w:pPr>
        <w:spacing w:before="240"/>
      </w:pPr>
      <w:r>
        <w:rPr>
          <w:rFonts w:ascii="Georgia" w:hAnsi="Georgia" w:eastAsia="Georgia"/>
          <w:b/>
          <w:i w:val="0"/>
          <w:color w:val="1E3A5F"/>
          <w:sz w:val="26"/>
        </w:rPr>
        <w:t>1. Transaction summary</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6624"/>
      </w:tblGrid>
      <w:tr>
        <w:tc>
          <w:tcPr>
            <w:tcW w:type="dxa" w:w="2736"/>
            <w:shd w:val="clear" w:color="auto" w:fill="E4EAF3"/>
          </w:tcPr>
          <w:p>
            <w:r/>
            <w:r>
              <w:rPr>
                <w:rFonts w:ascii="Arial" w:hAnsi="Arial" w:eastAsia="Arial"/>
                <w:b/>
                <w:i w:val="0"/>
                <w:color w:val="121826"/>
                <w:sz w:val="17"/>
              </w:rPr>
              <w:t>Item</w:t>
            </w:r>
          </w:p>
        </w:tc>
        <w:tc>
          <w:tcPr>
            <w:tcW w:type="dxa" w:w="6624"/>
            <w:shd w:val="clear" w:color="auto" w:fill="E4EAF3"/>
          </w:tcPr>
          <w:p>
            <w:r/>
            <w:r>
              <w:rPr>
                <w:rFonts w:ascii="Arial" w:hAnsi="Arial" w:eastAsia="Arial"/>
                <w:b/>
                <w:i w:val="0"/>
                <w:color w:val="121826"/>
                <w:sz w:val="17"/>
              </w:rPr>
              <w:t>Detail</w:t>
            </w:r>
          </w:p>
        </w:tc>
      </w:tr>
      <w:tr>
        <w:tc>
          <w:tcPr>
            <w:tcW w:type="dxa" w:w="2736"/>
          </w:tcPr>
          <w:p>
            <w:r/>
            <w:r>
              <w:rPr>
                <w:rFonts w:ascii="Arial" w:hAnsi="Arial" w:eastAsia="Arial"/>
                <w:b w:val="0"/>
                <w:i w:val="0"/>
                <w:color w:val="2A3140"/>
                <w:sz w:val="17"/>
              </w:rPr>
              <w:t>Borrower</w:t>
            </w:r>
          </w:p>
        </w:tc>
        <w:tc>
          <w:tcPr>
            <w:tcW w:type="dxa" w:w="6624"/>
          </w:tcPr>
          <w:p>
            <w:r/>
            <w:r>
              <w:rPr>
                <w:rFonts w:ascii="Arial" w:hAnsi="Arial" w:eastAsia="Arial"/>
                <w:b w:val="0"/>
                <w:i w:val="0"/>
                <w:color w:val="2A3140"/>
                <w:sz w:val="17"/>
              </w:rPr>
              <w:t>Oportun, Inc., the operating subsidiary of Oportun Financial Corporation (NASDAQ: OPRT)</w:t>
            </w:r>
          </w:p>
        </w:tc>
      </w:tr>
      <w:tr>
        <w:tc>
          <w:tcPr>
            <w:tcW w:type="dxa" w:w="2736"/>
          </w:tcPr>
          <w:p>
            <w:r/>
            <w:r>
              <w:rPr>
                <w:rFonts w:ascii="Arial" w:hAnsi="Arial" w:eastAsia="Arial"/>
                <w:b w:val="0"/>
                <w:i w:val="0"/>
                <w:color w:val="2A3140"/>
                <w:sz w:val="17"/>
              </w:rPr>
              <w:t>Guarantors</w:t>
            </w:r>
          </w:p>
        </w:tc>
        <w:tc>
          <w:tcPr>
            <w:tcW w:type="dxa" w:w="6624"/>
          </w:tcPr>
          <w:p>
            <w:r/>
            <w:r>
              <w:rPr>
                <w:rFonts w:ascii="Arial" w:hAnsi="Arial" w:eastAsia="Arial"/>
                <w:b w:val="0"/>
                <w:i w:val="0"/>
                <w:color w:val="2A3140"/>
                <w:sz w:val="17"/>
              </w:rPr>
              <w:t>Oportun Financial Corporation and its material subsidiaries other than securitization trusts, warehouse vehicles and their depositors</w:t>
            </w:r>
          </w:p>
        </w:tc>
      </w:tr>
      <w:tr>
        <w:tc>
          <w:tcPr>
            <w:tcW w:type="dxa" w:w="2736"/>
          </w:tcPr>
          <w:p>
            <w:r/>
            <w:r>
              <w:rPr>
                <w:rFonts w:ascii="Arial" w:hAnsi="Arial" w:eastAsia="Arial"/>
                <w:b w:val="0"/>
                <w:i w:val="0"/>
                <w:color w:val="2A3140"/>
                <w:sz w:val="17"/>
              </w:rPr>
              <w:t>Lender</w:t>
            </w:r>
          </w:p>
        </w:tc>
        <w:tc>
          <w:tcPr>
            <w:tcW w:type="dxa" w:w="6624"/>
          </w:tcPr>
          <w:p>
            <w:r/>
            <w:r>
              <w:rPr>
                <w:rFonts w:ascii="Arial" w:hAnsi="Arial" w:eastAsia="Arial"/>
                <w:b w:val="0"/>
                <w:i w:val="0"/>
                <w:color w:val="2A3140"/>
                <w:sz w:val="17"/>
              </w:rPr>
              <w:t>Tamsin Credit Partners (fictional), sole lender and administrative agent</w:t>
            </w:r>
          </w:p>
        </w:tc>
      </w:tr>
      <w:tr>
        <w:tc>
          <w:tcPr>
            <w:tcW w:type="dxa" w:w="2736"/>
          </w:tcPr>
          <w:p>
            <w:r/>
            <w:r>
              <w:rPr>
                <w:rFonts w:ascii="Arial" w:hAnsi="Arial" w:eastAsia="Arial"/>
                <w:b w:val="0"/>
                <w:i w:val="0"/>
                <w:color w:val="2A3140"/>
                <w:sz w:val="17"/>
              </w:rPr>
              <w:t>Facility</w:t>
            </w:r>
          </w:p>
        </w:tc>
        <w:tc>
          <w:tcPr>
            <w:tcW w:type="dxa" w:w="6624"/>
          </w:tcPr>
          <w:p>
            <w:r/>
            <w:r>
              <w:rPr>
                <w:rFonts w:ascii="Arial" w:hAnsi="Arial" w:eastAsia="Arial"/>
                <w:b w:val="0"/>
                <w:i w:val="0"/>
                <w:color w:val="2A3140"/>
                <w:sz w:val="17"/>
              </w:rPr>
              <w:t>$150.0M senior secured term loan, fully funded at closing (hypothetical)</w:t>
            </w:r>
          </w:p>
        </w:tc>
      </w:tr>
      <w:tr>
        <w:tc>
          <w:tcPr>
            <w:tcW w:type="dxa" w:w="2736"/>
          </w:tcPr>
          <w:p>
            <w:r/>
            <w:r>
              <w:rPr>
                <w:rFonts w:ascii="Arial" w:hAnsi="Arial" w:eastAsia="Arial"/>
                <w:b w:val="0"/>
                <w:i w:val="0"/>
                <w:color w:val="2A3140"/>
                <w:sz w:val="17"/>
              </w:rPr>
              <w:t>Use of proceeds</w:t>
            </w:r>
          </w:p>
        </w:tc>
        <w:tc>
          <w:tcPr>
            <w:tcW w:type="dxa" w:w="6624"/>
          </w:tcPr>
          <w:p>
            <w:r/>
            <w:r>
              <w:rPr>
                <w:rFonts w:ascii="Arial" w:hAnsi="Arial" w:eastAsia="Arial"/>
                <w:b w:val="0"/>
                <w:i w:val="0"/>
                <w:color w:val="2A3140"/>
                <w:sz w:val="17"/>
              </w:rPr>
              <w:t>Repay $135.0M of existing term loan principal and a 4.00% prepayment premium ($5.4M); pay $3.0M original issue discount (OID) and $2.0M of fees; $4.6M to balance sheet cash</w:t>
            </w:r>
          </w:p>
        </w:tc>
      </w:tr>
      <w:tr>
        <w:tc>
          <w:tcPr>
            <w:tcW w:type="dxa" w:w="2736"/>
          </w:tcPr>
          <w:p>
            <w:r/>
            <w:r>
              <w:rPr>
                <w:rFonts w:ascii="Arial" w:hAnsi="Arial" w:eastAsia="Arial"/>
                <w:b w:val="0"/>
                <w:i w:val="0"/>
                <w:color w:val="2A3140"/>
                <w:sz w:val="17"/>
              </w:rPr>
              <w:t>Pricing</w:t>
            </w:r>
          </w:p>
        </w:tc>
        <w:tc>
          <w:tcPr>
            <w:tcW w:type="dxa" w:w="6624"/>
          </w:tcPr>
          <w:p>
            <w:r/>
            <w:r>
              <w:rPr>
                <w:rFonts w:ascii="Arial" w:hAnsi="Arial" w:eastAsia="Arial"/>
                <w:b w:val="0"/>
                <w:i w:val="0"/>
                <w:color w:val="2A3140"/>
                <w:sz w:val="17"/>
              </w:rPr>
              <w:t>3M Term SOFR + 7.50%, 1.00% floor, issue price 98.0. 3M Term SOFR was 4.03887% on 9 Oct 2026 (CME Term SOFR)</w:t>
            </w:r>
          </w:p>
        </w:tc>
      </w:tr>
      <w:tr>
        <w:tc>
          <w:tcPr>
            <w:tcW w:type="dxa" w:w="2736"/>
          </w:tcPr>
          <w:p>
            <w:r/>
            <w:r>
              <w:rPr>
                <w:rFonts w:ascii="Arial" w:hAnsi="Arial" w:eastAsia="Arial"/>
                <w:b w:val="0"/>
                <w:i w:val="0"/>
                <w:color w:val="2A3140"/>
                <w:sz w:val="17"/>
              </w:rPr>
              <w:t>Tenor</w:t>
            </w:r>
          </w:p>
        </w:tc>
        <w:tc>
          <w:tcPr>
            <w:tcW w:type="dxa" w:w="6624"/>
          </w:tcPr>
          <w:p>
            <w:r/>
            <w:r>
              <w:rPr>
                <w:rFonts w:ascii="Arial" w:hAnsi="Arial" w:eastAsia="Arial"/>
                <w:b w:val="0"/>
                <w:i w:val="0"/>
                <w:color w:val="2A3140"/>
                <w:sz w:val="17"/>
              </w:rPr>
              <w:t>4 years from closing</w:t>
            </w:r>
          </w:p>
        </w:tc>
      </w:tr>
      <w:tr>
        <w:tc>
          <w:tcPr>
            <w:tcW w:type="dxa" w:w="2736"/>
          </w:tcPr>
          <w:p>
            <w:r/>
            <w:r>
              <w:rPr>
                <w:rFonts w:ascii="Arial" w:hAnsi="Arial" w:eastAsia="Arial"/>
                <w:b w:val="0"/>
                <w:i w:val="0"/>
                <w:color w:val="2A3140"/>
                <w:sz w:val="17"/>
              </w:rPr>
              <w:t>Expected closing</w:t>
            </w:r>
          </w:p>
        </w:tc>
        <w:tc>
          <w:tcPr>
            <w:tcW w:type="dxa" w:w="6624"/>
          </w:tcPr>
          <w:p>
            <w:r/>
            <w:r>
              <w:rPr>
                <w:rFonts w:ascii="Arial" w:hAnsi="Arial" w:eastAsia="Arial"/>
                <w:b w:val="0"/>
                <w:i w:val="0"/>
                <w:color w:val="2A3140"/>
                <w:sz w:val="17"/>
              </w:rPr>
              <w:t>Mid-December 2026, after the existing premium steps down from 5.00% to 4.00% on 14 Nov 2026</w:t>
            </w:r>
          </w:p>
        </w:tc>
      </w:tr>
      <w:tr>
        <w:tc>
          <w:tcPr>
            <w:tcW w:type="dxa" w:w="2736"/>
          </w:tcPr>
          <w:p>
            <w:r/>
            <w:r>
              <w:rPr>
                <w:rFonts w:ascii="Arial" w:hAnsi="Arial" w:eastAsia="Arial"/>
                <w:b w:val="0"/>
                <w:i w:val="0"/>
                <w:color w:val="2A3140"/>
                <w:sz w:val="17"/>
              </w:rPr>
              <w:t>Existing loan being refinanced</w:t>
            </w:r>
          </w:p>
        </w:tc>
        <w:tc>
          <w:tcPr>
            <w:tcW w:type="dxa" w:w="6624"/>
          </w:tcPr>
          <w:p>
            <w:r/>
            <w:r>
              <w:rPr>
                <w:rFonts w:ascii="Arial" w:hAnsi="Arial" w:eastAsia="Arial"/>
                <w:b w:val="0"/>
                <w:i w:val="0"/>
                <w:color w:val="2A3140"/>
                <w:sz w:val="17"/>
              </w:rPr>
              <w:t>$135.0M at 15.00% fixed (12.50% cash plus 2.50% payable in kind, PIK), maturing 14 Nov 2028; lenders also hold warrants</w:t>
            </w:r>
          </w:p>
        </w:tc>
      </w:tr>
    </w:tbl>
    <w:p/>
    <w:p>
      <w:pPr>
        <w:spacing w:before="240"/>
      </w:pPr>
      <w:r>
        <w:rPr>
          <w:rFonts w:ascii="Georgia" w:hAnsi="Georgia" w:eastAsia="Georgia"/>
          <w:b/>
          <w:i w:val="0"/>
          <w:color w:val="1E3A5F"/>
          <w:sz w:val="26"/>
        </w:rPr>
        <w:t>2. Platform and collateral overview</w:t>
      </w:r>
    </w:p>
    <w:p>
      <w:r>
        <w:rPr>
          <w:rFonts w:ascii="Arial" w:hAnsi="Arial" w:eastAsia="Arial"/>
          <w:b w:val="0"/>
          <w:i w:val="0"/>
          <w:color w:val="2A3140"/>
          <w:sz w:val="21"/>
        </w:rPr>
        <w:t>Oportun was founded in 2005. It makes small-balance, fixed-rate, fully amortizing installment loans to consumers with limited or no credit history, many of whom have no FICO score. The company says it has helped 1.3 million people without a FICO score start a credit history and had 2.8 million members at year-end 2025. Credit provided since inception reached $22.7bn by 8 Sep 2026. Unsecured personal loans dominate. Secured personal loans, backed by an automobile title, were $245M at 30 Jun 2026, or 9% of owned principal, and are offered in 8 states. The company caps APRs on new loans at 36%; the weighted average APR on the unsecured book was 35% at 30 Sep 2025, and the average new unsecured loan in 3Q25 was $3,058.</w:t>
      </w:r>
    </w:p>
    <w:p>
      <w:r>
        <w:rPr>
          <w:rFonts w:ascii="Arial" w:hAnsi="Arial" w:eastAsia="Arial"/>
          <w:b w:val="0"/>
          <w:i w:val="0"/>
          <w:color w:val="2A3140"/>
          <w:sz w:val="21"/>
        </w:rPr>
        <w:t>Most loans are now originated by Pathward, N.A., a national bank, under a program agreement that runs through 2029; Pathward originated about 98% of 2025 personal loan originations. Oportun buys the receivables and funds them in bankruptcy-remote vehicles: five warehouse facilities (Oportun PLW Trust to PLW V) and a series of term securitizations. Oportun Issuance Trust 2026-A, its 28th term securitization, priced in February 2026. Oportun keeps the residual interest (the certificates) in each trust and services the loans through a subsidiary, PF Servicing, for a 5.00% annual fee. The loans are carried at fair value.</w:t>
      </w:r>
    </w:p>
    <w:p>
      <w:r>
        <w:rPr>
          <w:rFonts w:ascii="Arial" w:hAnsi="Arial" w:eastAsia="Arial"/>
          <w:b w:val="0"/>
          <w:i w:val="0"/>
          <w:color w:val="2A3140"/>
          <w:sz w:val="21"/>
        </w:rPr>
        <w:t>The corporate lender's collateral is therefore not the loans themselves. It is the equity of the subsidiaries that own the trust certificates, the servicing platform, unrestricted cash and intangible assets. At 30 Jun 2026 owned principal was $2,613.4M and unrestricted cash was $139.6M.</w:t>
      </w:r>
    </w:p>
    <w:p>
      <w:r>
        <w:rPr>
          <w:rFonts w:ascii="Arial" w:hAnsi="Arial" w:eastAsia="Arial"/>
          <w:b w:val="0"/>
          <w:i w:val="0"/>
          <w:color w:val="2A3140"/>
          <w:sz w:val="21"/>
        </w:rPr>
        <w:t>Management changed in 2026. The chief executive left in April; Doug Bland was appointed chief executive after an interim Office of the CEO. A new chief risk officer, Sean Rowles, joined in June and a new chief financial officer, Bill Franklin (previously at Discover), started on 8 Sep 2026. On 22 Jun 2026 the company settled with an activist shareholder, Radoff, and a new director, Scheirman, was appointed on 11 Aug 2026. On 30 Jun 2026 Oportun entered into a second bank program, with Column N.A., for a four-year term.</w:t>
      </w:r>
    </w:p>
    <w:p>
      <w:pPr>
        <w:spacing w:before="240"/>
      </w:pPr>
      <w:r>
        <w:rPr>
          <w:rFonts w:ascii="Georgia" w:hAnsi="Georgia" w:eastAsia="Georgia"/>
          <w:b/>
          <w:i w:val="0"/>
          <w:color w:val="1E3A5F"/>
          <w:sz w:val="26"/>
        </w:rPr>
        <w:t>3. Industry</w:t>
      </w:r>
    </w:p>
    <w:p>
      <w:r>
        <w:rPr>
          <w:rFonts w:ascii="Arial" w:hAnsi="Arial" w:eastAsia="Arial"/>
          <w:b w:val="0"/>
          <w:i w:val="0"/>
          <w:color w:val="2A3140"/>
          <w:sz w:val="21"/>
        </w:rPr>
        <w:t>Oportun competes with consumer finance companies, fintech lenders, banks and, at the margin, payday, pawn and auto-title lenders. Its peers in the non-prime installment market include OneMain and Enova, both of which fund partly with unsecured bonds (Exhibit 7). Oportun relies on secured funding: trust notes and warehouses.</w:t>
      </w:r>
    </w:p>
    <w:p>
      <w:r>
        <w:rPr>
          <w:rFonts w:ascii="Arial" w:hAnsi="Arial" w:eastAsia="Arial"/>
          <w:b w:val="0"/>
          <w:i w:val="0"/>
          <w:color w:val="2A3140"/>
          <w:sz w:val="21"/>
        </w:rPr>
        <w:t>The market is growing but credit is mixed. TransUnion reports US unsecured personal loan balances of $281.0bn in Q2 2026, up 9.6% year over year. Originations grew 19.5%, with subprime originations up 29%. Borrower-level 60+ days past due (DPD) delinquency rose to 3.81% from 3.37% a year earlier, while the balance-weighted rate was 1.95% (TransUnion Q2 2026 Credit Industry Insights Report). Funding costs matter as much as losses. The Federal Reserve raised its target range by 25bp to 3.75%–4.00% on 16 Sep 2026, and SOFR was 3.87% on 8 Oct 2026 (New York Fed). Oportun's own 36% APR cap and state rate limits set the ceiling on pricing, so higher funding costs and losses cannot be passed through quickly.</w:t>
      </w:r>
    </w:p>
    <w:p>
      <w:pPr>
        <w:spacing w:before="240"/>
      </w:pPr>
      <w:r>
        <w:rPr>
          <w:rFonts w:ascii="Georgia" w:hAnsi="Georgia" w:eastAsia="Georgia"/>
          <w:b/>
          <w:i w:val="0"/>
          <w:color w:val="1E3A5F"/>
          <w:sz w:val="26"/>
        </w:rPr>
        <w:t>4. Portfolio performance</w:t>
      </w:r>
    </w:p>
    <w:p>
      <w:r>
        <w:rPr>
          <w:rFonts w:ascii="Arial" w:hAnsi="Arial" w:eastAsia="Arial"/>
          <w:b/>
          <w:i w:val="0"/>
          <w:color w:val="2A3140"/>
          <w:sz w:val="21"/>
        </w:rPr>
        <w:t>Financial summary</w:t>
      </w:r>
      <w:r>
        <w:rPr>
          <w:rFonts w:ascii="Arial" w:hAnsi="Arial" w:eastAsia="Arial"/>
          <w:b w:val="0"/>
          <w:i w:val="0"/>
          <w:color w:val="2A3140"/>
          <w:sz w:val="21"/>
        </w:rPr>
        <w:t xml:space="preserve"> ($M unless stated; fiscal years end 31 December; LTM Jun-26 = FY2025A + 6M Jun-26A − 6M Jun-25A)</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080"/>
        <w:gridCol w:w="1080"/>
        <w:gridCol w:w="1080"/>
        <w:gridCol w:w="1080"/>
        <w:gridCol w:w="1080"/>
        <w:gridCol w:w="1080"/>
      </w:tblGrid>
      <w:tr>
        <w:tc>
          <w:tcPr>
            <w:tcW w:type="dxa" w:w="2880"/>
            <w:shd w:val="clear" w:color="auto" w:fill="E4EAF3"/>
          </w:tcPr>
          <w:p>
            <w:r/>
            <w:r>
              <w:rPr>
                <w:rFonts w:ascii="Arial" w:hAnsi="Arial" w:eastAsia="Arial"/>
                <w:b/>
                <w:i w:val="0"/>
                <w:color w:val="121826"/>
                <w:sz w:val="17"/>
              </w:rPr>
              <w:t>$M</w:t>
            </w:r>
          </w:p>
        </w:tc>
        <w:tc>
          <w:tcPr>
            <w:tcW w:type="dxa" w:w="1080"/>
            <w:shd w:val="clear" w:color="auto" w:fill="E4EAF3"/>
          </w:tcPr>
          <w:p>
            <w:r/>
            <w:r>
              <w:rPr>
                <w:rFonts w:ascii="Arial" w:hAnsi="Arial" w:eastAsia="Arial"/>
                <w:b/>
                <w:i w:val="0"/>
                <w:color w:val="121826"/>
                <w:sz w:val="17"/>
              </w:rPr>
              <w:t>FY2023A</w:t>
            </w:r>
          </w:p>
        </w:tc>
        <w:tc>
          <w:tcPr>
            <w:tcW w:type="dxa" w:w="1080"/>
            <w:shd w:val="clear" w:color="auto" w:fill="E4EAF3"/>
          </w:tcPr>
          <w:p>
            <w:r/>
            <w:r>
              <w:rPr>
                <w:rFonts w:ascii="Arial" w:hAnsi="Arial" w:eastAsia="Arial"/>
                <w:b/>
                <w:i w:val="0"/>
                <w:color w:val="121826"/>
                <w:sz w:val="17"/>
              </w:rPr>
              <w:t>FY2024A</w:t>
            </w:r>
          </w:p>
        </w:tc>
        <w:tc>
          <w:tcPr>
            <w:tcW w:type="dxa" w:w="1080"/>
            <w:shd w:val="clear" w:color="auto" w:fill="E4EAF3"/>
          </w:tcPr>
          <w:p>
            <w:r/>
            <w:r>
              <w:rPr>
                <w:rFonts w:ascii="Arial" w:hAnsi="Arial" w:eastAsia="Arial"/>
                <w:b/>
                <w:i w:val="0"/>
                <w:color w:val="121826"/>
                <w:sz w:val="17"/>
              </w:rPr>
              <w:t>FY2025A</w:t>
            </w:r>
          </w:p>
        </w:tc>
        <w:tc>
          <w:tcPr>
            <w:tcW w:type="dxa" w:w="1080"/>
            <w:shd w:val="clear" w:color="auto" w:fill="E4EAF3"/>
          </w:tcPr>
          <w:p>
            <w:r/>
            <w:r>
              <w:rPr>
                <w:rFonts w:ascii="Arial" w:hAnsi="Arial" w:eastAsia="Arial"/>
                <w:b/>
                <w:i w:val="0"/>
                <w:color w:val="121826"/>
                <w:sz w:val="17"/>
              </w:rPr>
              <w:t>6M Jun-25A</w:t>
            </w:r>
          </w:p>
        </w:tc>
        <w:tc>
          <w:tcPr>
            <w:tcW w:type="dxa" w:w="1080"/>
            <w:shd w:val="clear" w:color="auto" w:fill="E4EAF3"/>
          </w:tcPr>
          <w:p>
            <w:r/>
            <w:r>
              <w:rPr>
                <w:rFonts w:ascii="Arial" w:hAnsi="Arial" w:eastAsia="Arial"/>
                <w:b/>
                <w:i w:val="0"/>
                <w:color w:val="121826"/>
                <w:sz w:val="17"/>
              </w:rPr>
              <w:t>6M Jun-26A</w:t>
            </w:r>
          </w:p>
        </w:tc>
        <w:tc>
          <w:tcPr>
            <w:tcW w:type="dxa" w:w="1080"/>
            <w:shd w:val="clear" w:color="auto" w:fill="E4EAF3"/>
          </w:tcPr>
          <w:p>
            <w:r/>
            <w:r>
              <w:rPr>
                <w:rFonts w:ascii="Arial" w:hAnsi="Arial" w:eastAsia="Arial"/>
                <w:b/>
                <w:i w:val="0"/>
                <w:color w:val="121826"/>
                <w:sz w:val="17"/>
              </w:rPr>
              <w:t>LTM Jun-26</w:t>
            </w:r>
          </w:p>
        </w:tc>
      </w:tr>
      <w:tr>
        <w:tc>
          <w:tcPr>
            <w:tcW w:type="dxa" w:w="2880"/>
          </w:tcPr>
          <w:p>
            <w:r/>
            <w:r>
              <w:rPr>
                <w:rFonts w:ascii="Arial" w:hAnsi="Arial" w:eastAsia="Arial"/>
                <w:b w:val="0"/>
                <w:i w:val="0"/>
                <w:color w:val="2A3140"/>
                <w:sz w:val="17"/>
              </w:rPr>
              <w:t>Total revenue</w:t>
            </w:r>
          </w:p>
        </w:tc>
        <w:tc>
          <w:tcPr>
            <w:tcW w:type="dxa" w:w="1080"/>
          </w:tcPr>
          <w:p>
            <w:pPr>
              <w:jc w:val="right"/>
            </w:pPr>
            <w:r/>
            <w:r>
              <w:rPr>
                <w:rFonts w:ascii="Arial" w:hAnsi="Arial" w:eastAsia="Arial"/>
                <w:b w:val="0"/>
                <w:i w:val="0"/>
                <w:color w:val="2A3140"/>
                <w:sz w:val="17"/>
              </w:rPr>
              <w:t>1,056.9</w:t>
            </w:r>
          </w:p>
        </w:tc>
        <w:tc>
          <w:tcPr>
            <w:tcW w:type="dxa" w:w="1080"/>
          </w:tcPr>
          <w:p>
            <w:pPr>
              <w:jc w:val="right"/>
            </w:pPr>
            <w:r/>
            <w:r>
              <w:rPr>
                <w:rFonts w:ascii="Arial" w:hAnsi="Arial" w:eastAsia="Arial"/>
                <w:b w:val="0"/>
                <w:i w:val="0"/>
                <w:color w:val="2A3140"/>
                <w:sz w:val="17"/>
              </w:rPr>
              <w:t>1,001.8</w:t>
            </w:r>
          </w:p>
        </w:tc>
        <w:tc>
          <w:tcPr>
            <w:tcW w:type="dxa" w:w="1080"/>
          </w:tcPr>
          <w:p>
            <w:pPr>
              <w:jc w:val="right"/>
            </w:pPr>
            <w:r/>
            <w:r>
              <w:rPr>
                <w:rFonts w:ascii="Arial" w:hAnsi="Arial" w:eastAsia="Arial"/>
                <w:b w:val="0"/>
                <w:i w:val="0"/>
                <w:color w:val="2A3140"/>
                <w:sz w:val="17"/>
              </w:rPr>
              <w:t>956.7</w:t>
            </w:r>
          </w:p>
        </w:tc>
        <w:tc>
          <w:tcPr>
            <w:tcW w:type="dxa" w:w="1080"/>
          </w:tcPr>
          <w:p>
            <w:pPr>
              <w:jc w:val="right"/>
            </w:pPr>
            <w:r/>
            <w:r>
              <w:rPr>
                <w:rFonts w:ascii="Arial" w:hAnsi="Arial" w:eastAsia="Arial"/>
                <w:b w:val="0"/>
                <w:i w:val="0"/>
                <w:color w:val="2A3140"/>
                <w:sz w:val="17"/>
              </w:rPr>
              <w:t>470.2</w:t>
            </w:r>
          </w:p>
        </w:tc>
        <w:tc>
          <w:tcPr>
            <w:tcW w:type="dxa" w:w="1080"/>
          </w:tcPr>
          <w:p>
            <w:pPr>
              <w:jc w:val="right"/>
            </w:pPr>
            <w:r/>
            <w:r>
              <w:rPr>
                <w:rFonts w:ascii="Arial" w:hAnsi="Arial" w:eastAsia="Arial"/>
                <w:b w:val="0"/>
                <w:i w:val="0"/>
                <w:color w:val="2A3140"/>
                <w:sz w:val="17"/>
              </w:rPr>
              <w:t>462.0</w:t>
            </w:r>
          </w:p>
        </w:tc>
        <w:tc>
          <w:tcPr>
            <w:tcW w:type="dxa" w:w="1080"/>
          </w:tcPr>
          <w:p>
            <w:pPr>
              <w:jc w:val="right"/>
            </w:pPr>
            <w:r/>
            <w:r>
              <w:rPr>
                <w:rFonts w:ascii="Arial" w:hAnsi="Arial" w:eastAsia="Arial"/>
                <w:b w:val="0"/>
                <w:i w:val="0"/>
                <w:color w:val="2A3140"/>
                <w:sz w:val="17"/>
              </w:rPr>
              <w:t>948.4</w:t>
            </w:r>
          </w:p>
        </w:tc>
      </w:tr>
      <w:tr>
        <w:tc>
          <w:tcPr>
            <w:tcW w:type="dxa" w:w="2880"/>
          </w:tcPr>
          <w:p>
            <w:r/>
            <w:r>
              <w:rPr>
                <w:rFonts w:ascii="Arial" w:hAnsi="Arial" w:eastAsia="Arial"/>
                <w:b w:val="0"/>
                <w:i w:val="0"/>
                <w:color w:val="2A3140"/>
                <w:sz w:val="17"/>
              </w:rPr>
              <w:t>Interest expense</w:t>
            </w:r>
          </w:p>
        </w:tc>
        <w:tc>
          <w:tcPr>
            <w:tcW w:type="dxa" w:w="1080"/>
          </w:tcPr>
          <w:p>
            <w:pPr>
              <w:jc w:val="right"/>
            </w:pPr>
            <w:r/>
            <w:r>
              <w:rPr>
                <w:rFonts w:ascii="Arial" w:hAnsi="Arial" w:eastAsia="Arial"/>
                <w:b w:val="0"/>
                <w:i w:val="0"/>
                <w:color w:val="2A3140"/>
                <w:sz w:val="17"/>
              </w:rPr>
              <w:t>179.4</w:t>
            </w:r>
          </w:p>
        </w:tc>
        <w:tc>
          <w:tcPr>
            <w:tcW w:type="dxa" w:w="1080"/>
          </w:tcPr>
          <w:p>
            <w:pPr>
              <w:jc w:val="right"/>
            </w:pPr>
            <w:r/>
            <w:r>
              <w:rPr>
                <w:rFonts w:ascii="Arial" w:hAnsi="Arial" w:eastAsia="Arial"/>
                <w:b w:val="0"/>
                <w:i w:val="0"/>
                <w:color w:val="2A3140"/>
                <w:sz w:val="17"/>
              </w:rPr>
              <w:t>238.2</w:t>
            </w:r>
          </w:p>
        </w:tc>
        <w:tc>
          <w:tcPr>
            <w:tcW w:type="dxa" w:w="1080"/>
          </w:tcPr>
          <w:p>
            <w:pPr>
              <w:jc w:val="right"/>
            </w:pPr>
            <w:r/>
            <w:r>
              <w:rPr>
                <w:rFonts w:ascii="Arial" w:hAnsi="Arial" w:eastAsia="Arial"/>
                <w:b w:val="0"/>
                <w:i w:val="0"/>
                <w:color w:val="2A3140"/>
                <w:sz w:val="17"/>
              </w:rPr>
              <w:t>231.5</w:t>
            </w:r>
          </w:p>
        </w:tc>
        <w:tc>
          <w:tcPr>
            <w:tcW w:type="dxa" w:w="1080"/>
          </w:tcPr>
          <w:p>
            <w:pPr>
              <w:jc w:val="right"/>
            </w:pPr>
            <w:r/>
            <w:r>
              <w:rPr>
                <w:rFonts w:ascii="Arial" w:hAnsi="Arial" w:eastAsia="Arial"/>
                <w:b w:val="0"/>
                <w:i w:val="0"/>
                <w:color w:val="2A3140"/>
                <w:sz w:val="17"/>
              </w:rPr>
              <w:t>116.9</w:t>
            </w:r>
          </w:p>
        </w:tc>
        <w:tc>
          <w:tcPr>
            <w:tcW w:type="dxa" w:w="1080"/>
          </w:tcPr>
          <w:p>
            <w:pPr>
              <w:jc w:val="right"/>
            </w:pPr>
            <w:r/>
            <w:r>
              <w:rPr>
                <w:rFonts w:ascii="Arial" w:hAnsi="Arial" w:eastAsia="Arial"/>
                <w:b w:val="0"/>
                <w:i w:val="0"/>
                <w:color w:val="2A3140"/>
                <w:sz w:val="17"/>
              </w:rPr>
              <w:t>89.9</w:t>
            </w:r>
          </w:p>
        </w:tc>
        <w:tc>
          <w:tcPr>
            <w:tcW w:type="dxa" w:w="1080"/>
          </w:tcPr>
          <w:p>
            <w:pPr>
              <w:jc w:val="right"/>
            </w:pPr>
            <w:r/>
            <w:r>
              <w:rPr>
                <w:rFonts w:ascii="Arial" w:hAnsi="Arial" w:eastAsia="Arial"/>
                <w:b w:val="0"/>
                <w:i w:val="0"/>
                <w:color w:val="2A3140"/>
                <w:sz w:val="17"/>
              </w:rPr>
              <w:t>204.5</w:t>
            </w:r>
          </w:p>
        </w:tc>
      </w:tr>
      <w:tr>
        <w:tc>
          <w:tcPr>
            <w:tcW w:type="dxa" w:w="2880"/>
          </w:tcPr>
          <w:p>
            <w:r/>
            <w:r>
              <w:rPr>
                <w:rFonts w:ascii="Arial" w:hAnsi="Arial" w:eastAsia="Arial"/>
                <w:b w:val="0"/>
                <w:i w:val="0"/>
                <w:color w:val="2A3140"/>
                <w:sz w:val="17"/>
              </w:rPr>
              <w:t>Net decrease in fair value of loans</w:t>
            </w:r>
          </w:p>
        </w:tc>
        <w:tc>
          <w:tcPr>
            <w:tcW w:type="dxa" w:w="1080"/>
          </w:tcPr>
          <w:p>
            <w:pPr>
              <w:jc w:val="right"/>
            </w:pPr>
            <w:r/>
            <w:r>
              <w:rPr>
                <w:rFonts w:ascii="Arial" w:hAnsi="Arial" w:eastAsia="Arial"/>
                <w:b w:val="0"/>
                <w:i w:val="0"/>
                <w:color w:val="2A3140"/>
                <w:sz w:val="17"/>
              </w:rPr>
              <w:t>(596.8)</w:t>
            </w:r>
          </w:p>
        </w:tc>
        <w:tc>
          <w:tcPr>
            <w:tcW w:type="dxa" w:w="1080"/>
          </w:tcPr>
          <w:p>
            <w:pPr>
              <w:jc w:val="right"/>
            </w:pPr>
            <w:r/>
            <w:r>
              <w:rPr>
                <w:rFonts w:ascii="Arial" w:hAnsi="Arial" w:eastAsia="Arial"/>
                <w:b w:val="0"/>
                <w:i w:val="0"/>
                <w:color w:val="2A3140"/>
                <w:sz w:val="17"/>
              </w:rPr>
              <w:t>(468.4)</w:t>
            </w:r>
          </w:p>
        </w:tc>
        <w:tc>
          <w:tcPr>
            <w:tcW w:type="dxa" w:w="1080"/>
          </w:tcPr>
          <w:p>
            <w:pPr>
              <w:jc w:val="right"/>
            </w:pPr>
            <w:r/>
            <w:r>
              <w:rPr>
                <w:rFonts w:ascii="Arial" w:hAnsi="Arial" w:eastAsia="Arial"/>
                <w:b w:val="0"/>
                <w:i w:val="0"/>
                <w:color w:val="2A3140"/>
                <w:sz w:val="17"/>
              </w:rPr>
              <w:t>(319.3)</w:t>
            </w:r>
          </w:p>
        </w:tc>
        <w:tc>
          <w:tcPr>
            <w:tcW w:type="dxa" w:w="1080"/>
          </w:tcPr>
          <w:p>
            <w:pPr>
              <w:jc w:val="right"/>
            </w:pPr>
            <w:r/>
            <w:r>
              <w:rPr>
                <w:rFonts w:ascii="Arial" w:hAnsi="Arial" w:eastAsia="Arial"/>
                <w:b w:val="0"/>
                <w:i w:val="0"/>
                <w:color w:val="2A3140"/>
                <w:sz w:val="17"/>
              </w:rPr>
              <w:t>(142.9)</w:t>
            </w:r>
          </w:p>
        </w:tc>
        <w:tc>
          <w:tcPr>
            <w:tcW w:type="dxa" w:w="1080"/>
          </w:tcPr>
          <w:p>
            <w:pPr>
              <w:jc w:val="right"/>
            </w:pPr>
            <w:r/>
            <w:r>
              <w:rPr>
                <w:rFonts w:ascii="Arial" w:hAnsi="Arial" w:eastAsia="Arial"/>
                <w:b w:val="0"/>
                <w:i w:val="0"/>
                <w:color w:val="2A3140"/>
                <w:sz w:val="17"/>
              </w:rPr>
              <w:t>(171.6)</w:t>
            </w:r>
          </w:p>
        </w:tc>
        <w:tc>
          <w:tcPr>
            <w:tcW w:type="dxa" w:w="1080"/>
          </w:tcPr>
          <w:p>
            <w:pPr>
              <w:jc w:val="right"/>
            </w:pPr>
            <w:r/>
            <w:r>
              <w:rPr>
                <w:rFonts w:ascii="Arial" w:hAnsi="Arial" w:eastAsia="Arial"/>
                <w:b w:val="0"/>
                <w:i w:val="0"/>
                <w:color w:val="2A3140"/>
                <w:sz w:val="17"/>
              </w:rPr>
              <w:t>(348.0)</w:t>
            </w:r>
          </w:p>
        </w:tc>
      </w:tr>
      <w:tr>
        <w:tc>
          <w:tcPr>
            <w:tcW w:type="dxa" w:w="2880"/>
          </w:tcPr>
          <w:p>
            <w:r/>
            <w:r>
              <w:rPr>
                <w:rFonts w:ascii="Arial" w:hAnsi="Arial" w:eastAsia="Arial"/>
                <w:b w:val="0"/>
                <w:i w:val="0"/>
                <w:color w:val="2A3140"/>
                <w:sz w:val="17"/>
              </w:rPr>
              <w:t>Net revenue</w:t>
            </w:r>
          </w:p>
        </w:tc>
        <w:tc>
          <w:tcPr>
            <w:tcW w:type="dxa" w:w="1080"/>
          </w:tcPr>
          <w:p>
            <w:pPr>
              <w:jc w:val="right"/>
            </w:pPr>
            <w:r/>
            <w:r>
              <w:rPr>
                <w:rFonts w:ascii="Arial" w:hAnsi="Arial" w:eastAsia="Arial"/>
                <w:b w:val="0"/>
                <w:i w:val="0"/>
                <w:color w:val="2A3140"/>
                <w:sz w:val="17"/>
              </w:rPr>
              <w:t>280.7</w:t>
            </w:r>
          </w:p>
        </w:tc>
        <w:tc>
          <w:tcPr>
            <w:tcW w:type="dxa" w:w="1080"/>
          </w:tcPr>
          <w:p>
            <w:pPr>
              <w:jc w:val="right"/>
            </w:pPr>
            <w:r/>
            <w:r>
              <w:rPr>
                <w:rFonts w:ascii="Arial" w:hAnsi="Arial" w:eastAsia="Arial"/>
                <w:b w:val="0"/>
                <w:i w:val="0"/>
                <w:color w:val="2A3140"/>
                <w:sz w:val="17"/>
              </w:rPr>
              <w:t>295.2</w:t>
            </w:r>
          </w:p>
        </w:tc>
        <w:tc>
          <w:tcPr>
            <w:tcW w:type="dxa" w:w="1080"/>
          </w:tcPr>
          <w:p>
            <w:pPr>
              <w:jc w:val="right"/>
            </w:pPr>
            <w:r/>
            <w:r>
              <w:rPr>
                <w:rFonts w:ascii="Arial" w:hAnsi="Arial" w:eastAsia="Arial"/>
                <w:b w:val="0"/>
                <w:i w:val="0"/>
                <w:color w:val="2A3140"/>
                <w:sz w:val="17"/>
              </w:rPr>
              <w:t>405.8</w:t>
            </w:r>
          </w:p>
        </w:tc>
        <w:tc>
          <w:tcPr>
            <w:tcW w:type="dxa" w:w="1080"/>
          </w:tcPr>
          <w:p>
            <w:pPr>
              <w:jc w:val="right"/>
            </w:pPr>
            <w:r/>
            <w:r>
              <w:rPr>
                <w:rFonts w:ascii="Arial" w:hAnsi="Arial" w:eastAsia="Arial"/>
                <w:b w:val="0"/>
                <w:i w:val="0"/>
                <w:color w:val="2A3140"/>
                <w:sz w:val="17"/>
              </w:rPr>
              <w:t>210.4</w:t>
            </w:r>
          </w:p>
        </w:tc>
        <w:tc>
          <w:tcPr>
            <w:tcW w:type="dxa" w:w="1080"/>
          </w:tcPr>
          <w:p>
            <w:pPr>
              <w:jc w:val="right"/>
            </w:pPr>
            <w:r/>
            <w:r>
              <w:rPr>
                <w:rFonts w:ascii="Arial" w:hAnsi="Arial" w:eastAsia="Arial"/>
                <w:b w:val="0"/>
                <w:i w:val="0"/>
                <w:color w:val="2A3140"/>
                <w:sz w:val="17"/>
              </w:rPr>
              <w:t>200.5</w:t>
            </w:r>
          </w:p>
        </w:tc>
        <w:tc>
          <w:tcPr>
            <w:tcW w:type="dxa" w:w="1080"/>
          </w:tcPr>
          <w:p>
            <w:pPr>
              <w:jc w:val="right"/>
            </w:pPr>
            <w:r/>
            <w:r>
              <w:rPr>
                <w:rFonts w:ascii="Arial" w:hAnsi="Arial" w:eastAsia="Arial"/>
                <w:b w:val="0"/>
                <w:i w:val="0"/>
                <w:color w:val="2A3140"/>
                <w:sz w:val="17"/>
              </w:rPr>
              <w:t>396.0</w:t>
            </w:r>
          </w:p>
        </w:tc>
      </w:tr>
      <w:tr>
        <w:tc>
          <w:tcPr>
            <w:tcW w:type="dxa" w:w="2880"/>
          </w:tcPr>
          <w:p>
            <w:r/>
            <w:r>
              <w:rPr>
                <w:rFonts w:ascii="Arial" w:hAnsi="Arial" w:eastAsia="Arial"/>
                <w:b w:val="0"/>
                <w:i w:val="0"/>
                <w:color w:val="2A3140"/>
                <w:sz w:val="17"/>
              </w:rPr>
              <w:t>Total operating expenses</w:t>
            </w:r>
          </w:p>
        </w:tc>
        <w:tc>
          <w:tcPr>
            <w:tcW w:type="dxa" w:w="1080"/>
          </w:tcPr>
          <w:p>
            <w:pPr>
              <w:jc w:val="right"/>
            </w:pPr>
            <w:r/>
            <w:r>
              <w:rPr>
                <w:rFonts w:ascii="Arial" w:hAnsi="Arial" w:eastAsia="Arial"/>
                <w:b w:val="0"/>
                <w:i w:val="0"/>
                <w:color w:val="2A3140"/>
                <w:sz w:val="17"/>
              </w:rPr>
              <w:t>534.3</w:t>
            </w:r>
          </w:p>
        </w:tc>
        <w:tc>
          <w:tcPr>
            <w:tcW w:type="dxa" w:w="1080"/>
          </w:tcPr>
          <w:p>
            <w:pPr>
              <w:jc w:val="right"/>
            </w:pPr>
            <w:r/>
            <w:r>
              <w:rPr>
                <w:rFonts w:ascii="Arial" w:hAnsi="Arial" w:eastAsia="Arial"/>
                <w:b w:val="0"/>
                <w:i w:val="0"/>
                <w:color w:val="2A3140"/>
                <w:sz w:val="17"/>
              </w:rPr>
              <w:t>410.4</w:t>
            </w:r>
          </w:p>
        </w:tc>
        <w:tc>
          <w:tcPr>
            <w:tcW w:type="dxa" w:w="1080"/>
          </w:tcPr>
          <w:p>
            <w:pPr>
              <w:jc w:val="right"/>
            </w:pPr>
            <w:r/>
            <w:r>
              <w:rPr>
                <w:rFonts w:ascii="Arial" w:hAnsi="Arial" w:eastAsia="Arial"/>
                <w:b w:val="0"/>
                <w:i w:val="0"/>
                <w:color w:val="2A3140"/>
                <w:sz w:val="17"/>
              </w:rPr>
              <w:t>361.8</w:t>
            </w:r>
          </w:p>
        </w:tc>
        <w:tc>
          <w:tcPr>
            <w:tcW w:type="dxa" w:w="1080"/>
          </w:tcPr>
          <w:p>
            <w:pPr>
              <w:jc w:val="right"/>
            </w:pPr>
            <w:r/>
            <w:r>
              <w:rPr>
                <w:rFonts w:ascii="Arial" w:hAnsi="Arial" w:eastAsia="Arial"/>
                <w:b w:val="0"/>
                <w:i w:val="0"/>
                <w:color w:val="2A3140"/>
                <w:sz w:val="17"/>
              </w:rPr>
              <w:t>187.1</w:t>
            </w:r>
          </w:p>
        </w:tc>
        <w:tc>
          <w:tcPr>
            <w:tcW w:type="dxa" w:w="1080"/>
          </w:tcPr>
          <w:p>
            <w:pPr>
              <w:jc w:val="right"/>
            </w:pPr>
            <w:r/>
            <w:r>
              <w:rPr>
                <w:rFonts w:ascii="Arial" w:hAnsi="Arial" w:eastAsia="Arial"/>
                <w:b w:val="0"/>
                <w:i w:val="0"/>
                <w:color w:val="2A3140"/>
                <w:sz w:val="17"/>
              </w:rPr>
              <w:t>181.3</w:t>
            </w:r>
          </w:p>
        </w:tc>
        <w:tc>
          <w:tcPr>
            <w:tcW w:type="dxa" w:w="1080"/>
          </w:tcPr>
          <w:p>
            <w:pPr>
              <w:jc w:val="right"/>
            </w:pPr>
            <w:r/>
            <w:r>
              <w:rPr>
                <w:rFonts w:ascii="Arial" w:hAnsi="Arial" w:eastAsia="Arial"/>
                <w:b w:val="0"/>
                <w:i w:val="0"/>
                <w:color w:val="2A3140"/>
                <w:sz w:val="17"/>
              </w:rPr>
              <w:t>356.0</w:t>
            </w:r>
          </w:p>
        </w:tc>
      </w:tr>
      <w:tr>
        <w:tc>
          <w:tcPr>
            <w:tcW w:type="dxa" w:w="2880"/>
          </w:tcPr>
          <w:p>
            <w:r/>
            <w:r>
              <w:rPr>
                <w:rFonts w:ascii="Arial" w:hAnsi="Arial" w:eastAsia="Arial"/>
                <w:b w:val="0"/>
                <w:i w:val="0"/>
                <w:color w:val="2A3140"/>
                <w:sz w:val="17"/>
              </w:rPr>
              <w:t>Net income (loss)</w:t>
            </w:r>
          </w:p>
        </w:tc>
        <w:tc>
          <w:tcPr>
            <w:tcW w:type="dxa" w:w="1080"/>
          </w:tcPr>
          <w:p>
            <w:pPr>
              <w:jc w:val="right"/>
            </w:pPr>
            <w:r/>
            <w:r>
              <w:rPr>
                <w:rFonts w:ascii="Arial" w:hAnsi="Arial" w:eastAsia="Arial"/>
                <w:b w:val="0"/>
                <w:i w:val="0"/>
                <w:color w:val="2A3140"/>
                <w:sz w:val="17"/>
              </w:rPr>
              <w:t>(180.0)</w:t>
            </w:r>
          </w:p>
        </w:tc>
        <w:tc>
          <w:tcPr>
            <w:tcW w:type="dxa" w:w="1080"/>
          </w:tcPr>
          <w:p>
            <w:pPr>
              <w:jc w:val="right"/>
            </w:pPr>
            <w:r/>
            <w:r>
              <w:rPr>
                <w:rFonts w:ascii="Arial" w:hAnsi="Arial" w:eastAsia="Arial"/>
                <w:b w:val="0"/>
                <w:i w:val="0"/>
                <w:color w:val="2A3140"/>
                <w:sz w:val="17"/>
              </w:rPr>
              <w:t>(78.7)</w:t>
            </w:r>
          </w:p>
        </w:tc>
        <w:tc>
          <w:tcPr>
            <w:tcW w:type="dxa" w:w="1080"/>
          </w:tcPr>
          <w:p>
            <w:pPr>
              <w:jc w:val="right"/>
            </w:pPr>
            <w:r/>
            <w:r>
              <w:rPr>
                <w:rFonts w:ascii="Arial" w:hAnsi="Arial" w:eastAsia="Arial"/>
                <w:b w:val="0"/>
                <w:i w:val="0"/>
                <w:color w:val="2A3140"/>
                <w:sz w:val="17"/>
              </w:rPr>
              <w:t>25.2</w:t>
            </w:r>
          </w:p>
        </w:tc>
        <w:tc>
          <w:tcPr>
            <w:tcW w:type="dxa" w:w="1080"/>
          </w:tcPr>
          <w:p>
            <w:pPr>
              <w:jc w:val="right"/>
            </w:pPr>
            <w:r/>
            <w:r>
              <w:rPr>
                <w:rFonts w:ascii="Arial" w:hAnsi="Arial" w:eastAsia="Arial"/>
                <w:b w:val="0"/>
                <w:i w:val="0"/>
                <w:color w:val="2A3140"/>
                <w:sz w:val="17"/>
              </w:rPr>
              <w:t>16.6</w:t>
            </w:r>
          </w:p>
        </w:tc>
        <w:tc>
          <w:tcPr>
            <w:tcW w:type="dxa" w:w="1080"/>
          </w:tcPr>
          <w:p>
            <w:pPr>
              <w:jc w:val="right"/>
            </w:pPr>
            <w:r/>
            <w:r>
              <w:rPr>
                <w:rFonts w:ascii="Arial" w:hAnsi="Arial" w:eastAsia="Arial"/>
                <w:b w:val="0"/>
                <w:i w:val="0"/>
                <w:color w:val="2A3140"/>
                <w:sz w:val="17"/>
              </w:rPr>
              <w:t>10.9</w:t>
            </w:r>
          </w:p>
        </w:tc>
        <w:tc>
          <w:tcPr>
            <w:tcW w:type="dxa" w:w="1080"/>
          </w:tcPr>
          <w:p>
            <w:pPr>
              <w:jc w:val="right"/>
            </w:pPr>
            <w:r/>
            <w:r>
              <w:rPr>
                <w:rFonts w:ascii="Arial" w:hAnsi="Arial" w:eastAsia="Arial"/>
                <w:b w:val="0"/>
                <w:i w:val="0"/>
                <w:color w:val="2A3140"/>
                <w:sz w:val="17"/>
              </w:rPr>
              <w:t>19.5</w:t>
            </w:r>
          </w:p>
        </w:tc>
      </w:tr>
      <w:tr>
        <w:tc>
          <w:tcPr>
            <w:tcW w:type="dxa" w:w="2880"/>
          </w:tcPr>
          <w:p>
            <w:r/>
            <w:r>
              <w:rPr>
                <w:rFonts w:ascii="Arial" w:hAnsi="Arial" w:eastAsia="Arial"/>
                <w:b w:val="0"/>
                <w:i w:val="0"/>
                <w:color w:val="2A3140"/>
                <w:sz w:val="17"/>
              </w:rPr>
              <w:t>Adjusted EBITDA (company definition)</w:t>
            </w:r>
          </w:p>
        </w:tc>
        <w:tc>
          <w:tcPr>
            <w:tcW w:type="dxa" w:w="1080"/>
          </w:tcPr>
          <w:p>
            <w:pPr>
              <w:jc w:val="right"/>
            </w:pPr>
            <w:r/>
            <w:r>
              <w:rPr>
                <w:rFonts w:ascii="Arial" w:hAnsi="Arial" w:eastAsia="Arial"/>
                <w:b w:val="0"/>
                <w:i w:val="0"/>
                <w:color w:val="2A3140"/>
                <w:sz w:val="17"/>
              </w:rPr>
              <w:t>18.6</w:t>
            </w:r>
          </w:p>
        </w:tc>
        <w:tc>
          <w:tcPr>
            <w:tcW w:type="dxa" w:w="1080"/>
          </w:tcPr>
          <w:p>
            <w:pPr>
              <w:jc w:val="right"/>
            </w:pPr>
            <w:r/>
            <w:r>
              <w:rPr>
                <w:rFonts w:ascii="Arial" w:hAnsi="Arial" w:eastAsia="Arial"/>
                <w:b w:val="0"/>
                <w:i w:val="0"/>
                <w:color w:val="2A3140"/>
                <w:sz w:val="17"/>
              </w:rPr>
              <w:t>104.5</w:t>
            </w:r>
          </w:p>
        </w:tc>
        <w:tc>
          <w:tcPr>
            <w:tcW w:type="dxa" w:w="1080"/>
          </w:tcPr>
          <w:p>
            <w:pPr>
              <w:jc w:val="right"/>
            </w:pPr>
            <w:r/>
            <w:r>
              <w:rPr>
                <w:rFonts w:ascii="Arial" w:hAnsi="Arial" w:eastAsia="Arial"/>
                <w:b w:val="0"/>
                <w:i w:val="0"/>
                <w:color w:val="2A3140"/>
                <w:sz w:val="17"/>
              </w:rPr>
              <w:t>148.4</w:t>
            </w:r>
          </w:p>
        </w:tc>
        <w:tc>
          <w:tcPr>
            <w:tcW w:type="dxa" w:w="1080"/>
          </w:tcPr>
          <w:p>
            <w:pPr>
              <w:jc w:val="right"/>
            </w:pPr>
            <w:r/>
            <w:r>
              <w:rPr>
                <w:rFonts w:ascii="Arial" w:hAnsi="Arial" w:eastAsia="Arial"/>
                <w:b w:val="0"/>
                <w:i w:val="0"/>
                <w:color w:val="2A3140"/>
                <w:sz w:val="17"/>
              </w:rPr>
              <w:t>64.7</w:t>
            </w:r>
          </w:p>
        </w:tc>
        <w:tc>
          <w:tcPr>
            <w:tcW w:type="dxa" w:w="1080"/>
          </w:tcPr>
          <w:p>
            <w:pPr>
              <w:jc w:val="right"/>
            </w:pPr>
            <w:r/>
            <w:r>
              <w:rPr>
                <w:rFonts w:ascii="Arial" w:hAnsi="Arial" w:eastAsia="Arial"/>
                <w:b w:val="0"/>
                <w:i w:val="0"/>
                <w:color w:val="2A3140"/>
                <w:sz w:val="17"/>
              </w:rPr>
              <w:t>77.9</w:t>
            </w:r>
          </w:p>
        </w:tc>
        <w:tc>
          <w:tcPr>
            <w:tcW w:type="dxa" w:w="1080"/>
          </w:tcPr>
          <w:p>
            <w:pPr>
              <w:jc w:val="right"/>
            </w:pPr>
            <w:r/>
            <w:r>
              <w:rPr>
                <w:rFonts w:ascii="Arial" w:hAnsi="Arial" w:eastAsia="Arial"/>
                <w:b w:val="0"/>
                <w:i w:val="0"/>
                <w:color w:val="2A3140"/>
                <w:sz w:val="17"/>
              </w:rPr>
              <w:t>161.6</w:t>
            </w:r>
          </w:p>
        </w:tc>
      </w:tr>
      <w:tr>
        <w:tc>
          <w:tcPr>
            <w:tcW w:type="dxa" w:w="2880"/>
          </w:tcPr>
          <w:p>
            <w:r/>
            <w:r>
              <w:rPr>
                <w:rFonts w:ascii="Arial" w:hAnsi="Arial" w:eastAsia="Arial"/>
                <w:b w:val="0"/>
                <w:i w:val="0"/>
                <w:color w:val="2A3140"/>
                <w:sz w:val="17"/>
              </w:rPr>
              <w:t>Aggregate originations</w:t>
            </w:r>
          </w:p>
        </w:tc>
        <w:tc>
          <w:tcPr>
            <w:tcW w:type="dxa" w:w="1080"/>
          </w:tcPr>
          <w:p>
            <w:pPr>
              <w:jc w:val="right"/>
            </w:pPr>
            <w:r/>
            <w:r>
              <w:rPr>
                <w:rFonts w:ascii="Arial" w:hAnsi="Arial" w:eastAsia="Arial"/>
                <w:b w:val="0"/>
                <w:i w:val="0"/>
                <w:color w:val="2A3140"/>
                <w:sz w:val="17"/>
              </w:rPr>
              <w:t>1,813.1</w:t>
            </w:r>
          </w:p>
        </w:tc>
        <w:tc>
          <w:tcPr>
            <w:tcW w:type="dxa" w:w="1080"/>
          </w:tcPr>
          <w:p>
            <w:pPr>
              <w:jc w:val="right"/>
            </w:pPr>
            <w:r/>
            <w:r>
              <w:rPr>
                <w:rFonts w:ascii="Arial" w:hAnsi="Arial" w:eastAsia="Arial"/>
                <w:b w:val="0"/>
                <w:i w:val="0"/>
                <w:color w:val="2A3140"/>
                <w:sz w:val="17"/>
              </w:rPr>
              <w:t>1,775.3</w:t>
            </w:r>
          </w:p>
        </w:tc>
        <w:tc>
          <w:tcPr>
            <w:tcW w:type="dxa" w:w="1080"/>
          </w:tcPr>
          <w:p>
            <w:pPr>
              <w:jc w:val="right"/>
            </w:pPr>
            <w:r/>
            <w:r>
              <w:rPr>
                <w:rFonts w:ascii="Arial" w:hAnsi="Arial" w:eastAsia="Arial"/>
                <w:b w:val="0"/>
                <w:i w:val="0"/>
                <w:color w:val="2A3140"/>
                <w:sz w:val="17"/>
              </w:rPr>
              <w:t>1,956.8</w:t>
            </w:r>
          </w:p>
        </w:tc>
        <w:tc>
          <w:tcPr>
            <w:tcW w:type="dxa" w:w="1080"/>
          </w:tcPr>
          <w:p>
            <w:pPr>
              <w:jc w:val="right"/>
            </w:pPr>
            <w:r/>
            <w:r>
              <w:rPr>
                <w:rFonts w:ascii="Arial" w:hAnsi="Arial" w:eastAsia="Arial"/>
                <w:b w:val="0"/>
                <w:i w:val="0"/>
                <w:color w:val="2A3140"/>
                <w:sz w:val="17"/>
              </w:rPr>
              <w:t>950.2</w:t>
            </w:r>
          </w:p>
        </w:tc>
        <w:tc>
          <w:tcPr>
            <w:tcW w:type="dxa" w:w="1080"/>
          </w:tcPr>
          <w:p>
            <w:pPr>
              <w:jc w:val="right"/>
            </w:pPr>
            <w:r/>
            <w:r>
              <w:rPr>
                <w:rFonts w:ascii="Arial" w:hAnsi="Arial" w:eastAsia="Arial"/>
                <w:b w:val="0"/>
                <w:i w:val="0"/>
                <w:color w:val="2A3140"/>
                <w:sz w:val="17"/>
              </w:rPr>
              <w:t>904.7</w:t>
            </w:r>
          </w:p>
        </w:tc>
        <w:tc>
          <w:tcPr>
            <w:tcW w:type="dxa" w:w="1080"/>
          </w:tcPr>
          <w:p>
            <w:pPr>
              <w:jc w:val="right"/>
            </w:pPr>
            <w:r/>
            <w:r>
              <w:rPr>
                <w:rFonts w:ascii="Arial" w:hAnsi="Arial" w:eastAsia="Arial"/>
                <w:b w:val="0"/>
                <w:i w:val="0"/>
                <w:color w:val="2A3140"/>
                <w:sz w:val="17"/>
              </w:rPr>
              <w:t>1,911.3</w:t>
            </w:r>
          </w:p>
        </w:tc>
      </w:tr>
      <w:tr>
        <w:tc>
          <w:tcPr>
            <w:tcW w:type="dxa" w:w="2880"/>
          </w:tcPr>
          <w:p>
            <w:r/>
            <w:r>
              <w:rPr>
                <w:rFonts w:ascii="Arial" w:hAnsi="Arial" w:eastAsia="Arial"/>
                <w:b w:val="0"/>
                <w:i w:val="0"/>
                <w:color w:val="2A3140"/>
                <w:sz w:val="17"/>
              </w:rPr>
              <w:t>Net charge-offs</w:t>
            </w:r>
          </w:p>
        </w:tc>
        <w:tc>
          <w:tcPr>
            <w:tcW w:type="dxa" w:w="1080"/>
          </w:tcPr>
          <w:p>
            <w:pPr>
              <w:jc w:val="right"/>
            </w:pPr>
            <w:r/>
            <w:r>
              <w:rPr>
                <w:rFonts w:ascii="Arial" w:hAnsi="Arial" w:eastAsia="Arial"/>
                <w:b w:val="0"/>
                <w:i w:val="0"/>
                <w:color w:val="2A3140"/>
                <w:sz w:val="17"/>
              </w:rPr>
              <w:t>363.8</w:t>
            </w:r>
          </w:p>
        </w:tc>
        <w:tc>
          <w:tcPr>
            <w:tcW w:type="dxa" w:w="1080"/>
          </w:tcPr>
          <w:p>
            <w:pPr>
              <w:jc w:val="right"/>
            </w:pPr>
            <w:r/>
            <w:r>
              <w:rPr>
                <w:rFonts w:ascii="Arial" w:hAnsi="Arial" w:eastAsia="Arial"/>
                <w:b w:val="0"/>
                <w:i w:val="0"/>
                <w:color w:val="2A3140"/>
                <w:sz w:val="17"/>
              </w:rPr>
              <w:t>331.4</w:t>
            </w:r>
          </w:p>
        </w:tc>
        <w:tc>
          <w:tcPr>
            <w:tcW w:type="dxa" w:w="1080"/>
          </w:tcPr>
          <w:p>
            <w:pPr>
              <w:jc w:val="right"/>
            </w:pPr>
            <w:r/>
            <w:r>
              <w:rPr>
                <w:rFonts w:ascii="Arial" w:hAnsi="Arial" w:eastAsia="Arial"/>
                <w:b w:val="0"/>
                <w:i w:val="0"/>
                <w:color w:val="2A3140"/>
                <w:sz w:val="17"/>
              </w:rPr>
              <w:t>325.5</w:t>
            </w:r>
          </w:p>
        </w:tc>
        <w:tc>
          <w:tcPr>
            <w:tcW w:type="dxa" w:w="1080"/>
          </w:tcPr>
          <w:p>
            <w:pPr>
              <w:jc w:val="right"/>
            </w:pPr>
            <w:r/>
            <w:r>
              <w:rPr>
                <w:rFonts w:ascii="Arial" w:hAnsi="Arial" w:eastAsia="Arial"/>
                <w:b w:val="0"/>
                <w:i w:val="0"/>
                <w:color w:val="2A3140"/>
                <w:sz w:val="17"/>
              </w:rPr>
              <w:t>160.3</w:t>
            </w:r>
          </w:p>
        </w:tc>
        <w:tc>
          <w:tcPr>
            <w:tcW w:type="dxa" w:w="1080"/>
          </w:tcPr>
          <w:p>
            <w:pPr>
              <w:jc w:val="right"/>
            </w:pPr>
            <w:r/>
            <w:r>
              <w:rPr>
                <w:rFonts w:ascii="Arial" w:hAnsi="Arial" w:eastAsia="Arial"/>
                <w:b w:val="0"/>
                <w:i w:val="0"/>
                <w:color w:val="2A3140"/>
                <w:sz w:val="17"/>
              </w:rPr>
              <w:t>163.9</w:t>
            </w:r>
          </w:p>
        </w:tc>
        <w:tc>
          <w:tcPr>
            <w:tcW w:type="dxa" w:w="1080"/>
          </w:tcPr>
          <w:p>
            <w:pPr>
              <w:jc w:val="right"/>
            </w:pPr>
            <w:r/>
            <w:r>
              <w:rPr>
                <w:rFonts w:ascii="Arial" w:hAnsi="Arial" w:eastAsia="Arial"/>
                <w:b w:val="0"/>
                <w:i w:val="0"/>
                <w:color w:val="2A3140"/>
                <w:sz w:val="17"/>
              </w:rPr>
              <w:t>329.2</w:t>
            </w:r>
          </w:p>
        </w:tc>
      </w:tr>
      <w:tr>
        <w:tc>
          <w:tcPr>
            <w:tcW w:type="dxa" w:w="2880"/>
          </w:tcPr>
          <w:p>
            <w:r/>
            <w:r>
              <w:rPr>
                <w:rFonts w:ascii="Arial" w:hAnsi="Arial" w:eastAsia="Arial"/>
                <w:b w:val="0"/>
                <w:i w:val="0"/>
                <w:color w:val="2A3140"/>
                <w:sz w:val="17"/>
              </w:rPr>
              <w:t>Owned principal balance, end of period</w:t>
            </w:r>
          </w:p>
        </w:tc>
        <w:tc>
          <w:tcPr>
            <w:tcW w:type="dxa" w:w="1080"/>
          </w:tcPr>
          <w:p>
            <w:pPr>
              <w:jc w:val="right"/>
            </w:pPr>
            <w:r/>
            <w:r>
              <w:rPr>
                <w:rFonts w:ascii="Arial" w:hAnsi="Arial" w:eastAsia="Arial"/>
                <w:b w:val="0"/>
                <w:i w:val="0"/>
                <w:color w:val="2A3140"/>
                <w:sz w:val="17"/>
              </w:rPr>
              <w:t>2,904.7</w:t>
            </w:r>
          </w:p>
        </w:tc>
        <w:tc>
          <w:tcPr>
            <w:tcW w:type="dxa" w:w="1080"/>
          </w:tcPr>
          <w:p>
            <w:pPr>
              <w:jc w:val="right"/>
            </w:pPr>
            <w:r/>
            <w:r>
              <w:rPr>
                <w:rFonts w:ascii="Arial" w:hAnsi="Arial" w:eastAsia="Arial"/>
                <w:b w:val="0"/>
                <w:i w:val="0"/>
                <w:color w:val="2A3140"/>
                <w:sz w:val="17"/>
              </w:rPr>
              <w:t>2,678.2</w:t>
            </w:r>
          </w:p>
        </w:tc>
        <w:tc>
          <w:tcPr>
            <w:tcW w:type="dxa" w:w="1080"/>
          </w:tcPr>
          <w:p>
            <w:pPr>
              <w:jc w:val="right"/>
            </w:pPr>
            <w:r/>
            <w:r>
              <w:rPr>
                <w:rFonts w:ascii="Arial" w:hAnsi="Arial" w:eastAsia="Arial"/>
                <w:b w:val="0"/>
                <w:i w:val="0"/>
                <w:color w:val="2A3140"/>
                <w:sz w:val="17"/>
              </w:rPr>
              <w:t>2,739.0</w:t>
            </w:r>
          </w:p>
        </w:tc>
        <w:tc>
          <w:tcPr>
            <w:tcW w:type="dxa" w:w="1080"/>
          </w:tcPr>
          <w:p>
            <w:pPr>
              <w:jc w:val="right"/>
            </w:pPr>
            <w:r/>
            <w:r>
              <w:rPr>
                <w:rFonts w:ascii="Arial" w:hAnsi="Arial" w:eastAsia="Arial"/>
                <w:b w:val="0"/>
                <w:i w:val="0"/>
                <w:color w:val="2A3140"/>
                <w:sz w:val="17"/>
              </w:rPr>
              <w:t>2,636.4</w:t>
            </w:r>
          </w:p>
        </w:tc>
        <w:tc>
          <w:tcPr>
            <w:tcW w:type="dxa" w:w="1080"/>
          </w:tcPr>
          <w:p>
            <w:pPr>
              <w:jc w:val="right"/>
            </w:pPr>
            <w:r/>
            <w:r>
              <w:rPr>
                <w:rFonts w:ascii="Arial" w:hAnsi="Arial" w:eastAsia="Arial"/>
                <w:b w:val="0"/>
                <w:i w:val="0"/>
                <w:color w:val="2A3140"/>
                <w:sz w:val="17"/>
              </w:rPr>
              <w:t>2,613.4</w:t>
            </w:r>
          </w:p>
        </w:tc>
        <w:tc>
          <w:tcPr>
            <w:tcW w:type="dxa" w:w="1080"/>
          </w:tcPr>
          <w:p>
            <w:pPr>
              <w:jc w:val="right"/>
            </w:pPr>
            <w:r/>
            <w:r>
              <w:rPr>
                <w:rFonts w:ascii="Arial" w:hAnsi="Arial" w:eastAsia="Arial"/>
                <w:b w:val="0"/>
                <w:i w:val="0"/>
                <w:color w:val="2A3140"/>
                <w:sz w:val="17"/>
              </w:rPr>
              <w:t>n/a</w:t>
            </w:r>
          </w:p>
        </w:tc>
      </w:tr>
      <w:tr>
        <w:tc>
          <w:tcPr>
            <w:tcW w:type="dxa" w:w="2880"/>
          </w:tcPr>
          <w:p>
            <w:r/>
            <w:r>
              <w:rPr>
                <w:rFonts w:ascii="Arial" w:hAnsi="Arial" w:eastAsia="Arial"/>
                <w:b w:val="0"/>
                <w:i w:val="0"/>
                <w:color w:val="2A3140"/>
                <w:sz w:val="17"/>
              </w:rPr>
              <w:t>Annualized net charge-off rate (%)</w:t>
            </w:r>
          </w:p>
        </w:tc>
        <w:tc>
          <w:tcPr>
            <w:tcW w:type="dxa" w:w="1080"/>
          </w:tcPr>
          <w:p>
            <w:pPr>
              <w:jc w:val="right"/>
            </w:pPr>
            <w:r/>
            <w:r>
              <w:rPr>
                <w:rFonts w:ascii="Arial" w:hAnsi="Arial" w:eastAsia="Arial"/>
                <w:b w:val="0"/>
                <w:i w:val="0"/>
                <w:color w:val="2A3140"/>
                <w:sz w:val="17"/>
              </w:rPr>
              <w:t>12.2%</w:t>
            </w:r>
          </w:p>
        </w:tc>
        <w:tc>
          <w:tcPr>
            <w:tcW w:type="dxa" w:w="1080"/>
          </w:tcPr>
          <w:p>
            <w:pPr>
              <w:jc w:val="right"/>
            </w:pPr>
            <w:r/>
            <w:r>
              <w:rPr>
                <w:rFonts w:ascii="Arial" w:hAnsi="Arial" w:eastAsia="Arial"/>
                <w:b w:val="0"/>
                <w:i w:val="0"/>
                <w:color w:val="2A3140"/>
                <w:sz w:val="17"/>
              </w:rPr>
              <w:t>12.0%</w:t>
            </w:r>
          </w:p>
        </w:tc>
        <w:tc>
          <w:tcPr>
            <w:tcW w:type="dxa" w:w="1080"/>
          </w:tcPr>
          <w:p>
            <w:pPr>
              <w:jc w:val="right"/>
            </w:pPr>
            <w:r/>
            <w:r>
              <w:rPr>
                <w:rFonts w:ascii="Arial" w:hAnsi="Arial" w:eastAsia="Arial"/>
                <w:b w:val="0"/>
                <w:i w:val="0"/>
                <w:color w:val="2A3140"/>
                <w:sz w:val="17"/>
              </w:rPr>
              <w:t>12.0%</w:t>
            </w:r>
          </w:p>
        </w:tc>
        <w:tc>
          <w:tcPr>
            <w:tcW w:type="dxa" w:w="1080"/>
          </w:tcPr>
          <w:p>
            <w:pPr>
              <w:jc w:val="right"/>
            </w:pPr>
            <w:r/>
            <w:r>
              <w:rPr>
                <w:rFonts w:ascii="Arial" w:hAnsi="Arial" w:eastAsia="Arial"/>
                <w:b w:val="0"/>
                <w:i w:val="0"/>
                <w:color w:val="2A3140"/>
                <w:sz w:val="17"/>
              </w:rPr>
              <w:t>12.0%</w:t>
            </w:r>
          </w:p>
        </w:tc>
        <w:tc>
          <w:tcPr>
            <w:tcW w:type="dxa" w:w="1080"/>
          </w:tcPr>
          <w:p>
            <w:pPr>
              <w:jc w:val="right"/>
            </w:pPr>
            <w:r/>
            <w:r>
              <w:rPr>
                <w:rFonts w:ascii="Arial" w:hAnsi="Arial" w:eastAsia="Arial"/>
                <w:b w:val="0"/>
                <w:i w:val="0"/>
                <w:color w:val="2A3140"/>
                <w:sz w:val="17"/>
              </w:rPr>
              <w:t>12.3%</w:t>
            </w:r>
          </w:p>
        </w:tc>
        <w:tc>
          <w:tcPr>
            <w:tcW w:type="dxa" w:w="1080"/>
          </w:tcPr>
          <w:p>
            <w:pPr>
              <w:jc w:val="right"/>
            </w:pPr>
            <w:r/>
            <w:r>
              <w:rPr>
                <w:rFonts w:ascii="Arial" w:hAnsi="Arial" w:eastAsia="Arial"/>
                <w:b w:val="0"/>
                <w:i w:val="0"/>
                <w:color w:val="2A3140"/>
                <w:sz w:val="17"/>
              </w:rPr>
              <w:t>n/a</w:t>
            </w:r>
          </w:p>
        </w:tc>
      </w:tr>
      <w:tr>
        <w:tc>
          <w:tcPr>
            <w:tcW w:type="dxa" w:w="2880"/>
          </w:tcPr>
          <w:p>
            <w:r/>
            <w:r>
              <w:rPr>
                <w:rFonts w:ascii="Arial" w:hAnsi="Arial" w:eastAsia="Arial"/>
                <w:b w:val="0"/>
                <w:i w:val="0"/>
                <w:color w:val="2A3140"/>
                <w:sz w:val="17"/>
              </w:rPr>
              <w:t>30+ day delinquency rate, end of period (%)</w:t>
            </w:r>
          </w:p>
        </w:tc>
        <w:tc>
          <w:tcPr>
            <w:tcW w:type="dxa" w:w="1080"/>
          </w:tcPr>
          <w:p>
            <w:pPr>
              <w:jc w:val="right"/>
            </w:pPr>
            <w:r/>
            <w:r>
              <w:rPr>
                <w:rFonts w:ascii="Arial" w:hAnsi="Arial" w:eastAsia="Arial"/>
                <w:b w:val="0"/>
                <w:i w:val="0"/>
                <w:color w:val="2A3140"/>
                <w:sz w:val="17"/>
              </w:rPr>
              <w:t>5.9%</w:t>
            </w:r>
          </w:p>
        </w:tc>
        <w:tc>
          <w:tcPr>
            <w:tcW w:type="dxa" w:w="1080"/>
          </w:tcPr>
          <w:p>
            <w:pPr>
              <w:jc w:val="right"/>
            </w:pPr>
            <w:r/>
            <w:r>
              <w:rPr>
                <w:rFonts w:ascii="Arial" w:hAnsi="Arial" w:eastAsia="Arial"/>
                <w:b w:val="0"/>
                <w:i w:val="0"/>
                <w:color w:val="2A3140"/>
                <w:sz w:val="17"/>
              </w:rPr>
              <w:t>4.8%</w:t>
            </w:r>
          </w:p>
        </w:tc>
        <w:tc>
          <w:tcPr>
            <w:tcW w:type="dxa" w:w="1080"/>
          </w:tcPr>
          <w:p>
            <w:pPr>
              <w:jc w:val="right"/>
            </w:pPr>
            <w:r/>
            <w:r>
              <w:rPr>
                <w:rFonts w:ascii="Arial" w:hAnsi="Arial" w:eastAsia="Arial"/>
                <w:b w:val="0"/>
                <w:i w:val="0"/>
                <w:color w:val="2A3140"/>
                <w:sz w:val="17"/>
              </w:rPr>
              <w:t>4.9%</w:t>
            </w:r>
          </w:p>
        </w:tc>
        <w:tc>
          <w:tcPr>
            <w:tcW w:type="dxa" w:w="1080"/>
          </w:tcPr>
          <w:p>
            <w:pPr>
              <w:jc w:val="right"/>
            </w:pPr>
            <w:r/>
            <w:r>
              <w:rPr>
                <w:rFonts w:ascii="Arial" w:hAnsi="Arial" w:eastAsia="Arial"/>
                <w:b w:val="0"/>
                <w:i w:val="0"/>
                <w:color w:val="2A3140"/>
                <w:sz w:val="17"/>
              </w:rPr>
              <w:t>4.4%</w:t>
            </w:r>
          </w:p>
        </w:tc>
        <w:tc>
          <w:tcPr>
            <w:tcW w:type="dxa" w:w="1080"/>
          </w:tcPr>
          <w:p>
            <w:pPr>
              <w:jc w:val="right"/>
            </w:pPr>
            <w:r/>
            <w:r>
              <w:rPr>
                <w:rFonts w:ascii="Arial" w:hAnsi="Arial" w:eastAsia="Arial"/>
                <w:b w:val="0"/>
                <w:i w:val="0"/>
                <w:color w:val="2A3140"/>
                <w:sz w:val="17"/>
              </w:rPr>
              <w:t>4.0%</w:t>
            </w:r>
          </w:p>
        </w:tc>
        <w:tc>
          <w:tcPr>
            <w:tcW w:type="dxa" w:w="1080"/>
          </w:tcPr>
          <w:p>
            <w:pPr>
              <w:jc w:val="right"/>
            </w:pPr>
            <w:r/>
            <w:r>
              <w:rPr>
                <w:rFonts w:ascii="Arial" w:hAnsi="Arial" w:eastAsia="Arial"/>
                <w:b w:val="0"/>
                <w:i w:val="0"/>
                <w:color w:val="2A3140"/>
                <w:sz w:val="17"/>
              </w:rPr>
              <w:t>n/a</w:t>
            </w:r>
          </w:p>
        </w:tc>
      </w:tr>
      <w:tr>
        <w:tc>
          <w:tcPr>
            <w:tcW w:type="dxa" w:w="2880"/>
          </w:tcPr>
          <w:p>
            <w:r/>
            <w:r>
              <w:rPr>
                <w:rFonts w:ascii="Arial" w:hAnsi="Arial" w:eastAsia="Arial"/>
                <w:b w:val="0"/>
                <w:i w:val="0"/>
                <w:color w:val="2A3140"/>
                <w:sz w:val="17"/>
              </w:rPr>
              <w:t>Portfolio yield (%)</w:t>
            </w:r>
          </w:p>
        </w:tc>
        <w:tc>
          <w:tcPr>
            <w:tcW w:type="dxa" w:w="1080"/>
          </w:tcPr>
          <w:p>
            <w:pPr>
              <w:jc w:val="right"/>
            </w:pPr>
            <w:r/>
            <w:r>
              <w:rPr>
                <w:rFonts w:ascii="Arial" w:hAnsi="Arial" w:eastAsia="Arial"/>
                <w:b w:val="0"/>
                <w:i w:val="0"/>
                <w:color w:val="2A3140"/>
                <w:sz w:val="17"/>
              </w:rPr>
              <w:t>32.2%</w:t>
            </w:r>
          </w:p>
        </w:tc>
        <w:tc>
          <w:tcPr>
            <w:tcW w:type="dxa" w:w="1080"/>
          </w:tcPr>
          <w:p>
            <w:pPr>
              <w:jc w:val="right"/>
            </w:pPr>
            <w:r/>
            <w:r>
              <w:rPr>
                <w:rFonts w:ascii="Arial" w:hAnsi="Arial" w:eastAsia="Arial"/>
                <w:b w:val="0"/>
                <w:i w:val="0"/>
                <w:color w:val="2A3140"/>
                <w:sz w:val="17"/>
              </w:rPr>
              <w:t>33.5%</w:t>
            </w:r>
          </w:p>
        </w:tc>
        <w:tc>
          <w:tcPr>
            <w:tcW w:type="dxa" w:w="1080"/>
          </w:tcPr>
          <w:p>
            <w:pPr>
              <w:jc w:val="right"/>
            </w:pPr>
            <w:r/>
            <w:r>
              <w:rPr>
                <w:rFonts w:ascii="Arial" w:hAnsi="Arial" w:eastAsia="Arial"/>
                <w:b w:val="0"/>
                <w:i w:val="0"/>
                <w:color w:val="2A3140"/>
                <w:sz w:val="17"/>
              </w:rPr>
              <w:t>33.1%</w:t>
            </w:r>
          </w:p>
        </w:tc>
        <w:tc>
          <w:tcPr>
            <w:tcW w:type="dxa" w:w="1080"/>
          </w:tcPr>
          <w:p>
            <w:pPr>
              <w:jc w:val="right"/>
            </w:pPr>
            <w:r/>
            <w:r>
              <w:rPr>
                <w:rFonts w:ascii="Arial" w:hAnsi="Arial" w:eastAsia="Arial"/>
                <w:b w:val="0"/>
                <w:i w:val="0"/>
                <w:color w:val="2A3140"/>
                <w:sz w:val="17"/>
              </w:rPr>
              <w:t>32.9%</w:t>
            </w:r>
          </w:p>
        </w:tc>
        <w:tc>
          <w:tcPr>
            <w:tcW w:type="dxa" w:w="1080"/>
          </w:tcPr>
          <w:p>
            <w:pPr>
              <w:jc w:val="right"/>
            </w:pPr>
            <w:r/>
            <w:r>
              <w:rPr>
                <w:rFonts w:ascii="Arial" w:hAnsi="Arial" w:eastAsia="Arial"/>
                <w:b w:val="0"/>
                <w:i w:val="0"/>
                <w:color w:val="2A3140"/>
                <w:sz w:val="17"/>
              </w:rPr>
              <w:t>32.7%</w:t>
            </w:r>
          </w:p>
        </w:tc>
        <w:tc>
          <w:tcPr>
            <w:tcW w:type="dxa" w:w="1080"/>
          </w:tcPr>
          <w:p>
            <w:pPr>
              <w:jc w:val="right"/>
            </w:pPr>
            <w:r/>
            <w:r>
              <w:rPr>
                <w:rFonts w:ascii="Arial" w:hAnsi="Arial" w:eastAsia="Arial"/>
                <w:b w:val="0"/>
                <w:i w:val="0"/>
                <w:color w:val="2A3140"/>
                <w:sz w:val="17"/>
              </w:rPr>
              <w:t>n/a</w:t>
            </w:r>
          </w:p>
        </w:tc>
      </w:tr>
      <w:tr>
        <w:tc>
          <w:tcPr>
            <w:tcW w:type="dxa" w:w="2880"/>
          </w:tcPr>
          <w:p>
            <w:r/>
            <w:r>
              <w:rPr>
                <w:rFonts w:ascii="Arial" w:hAnsi="Arial" w:eastAsia="Arial"/>
                <w:b w:val="0"/>
                <w:i w:val="0"/>
                <w:color w:val="2A3140"/>
                <w:sz w:val="17"/>
              </w:rPr>
              <w:t>Cost of debt (%)</w:t>
            </w:r>
          </w:p>
        </w:tc>
        <w:tc>
          <w:tcPr>
            <w:tcW w:type="dxa" w:w="1080"/>
          </w:tcPr>
          <w:p>
            <w:pPr>
              <w:jc w:val="right"/>
            </w:pPr>
            <w:r/>
            <w:r>
              <w:rPr>
                <w:rFonts w:ascii="Arial" w:hAnsi="Arial" w:eastAsia="Arial"/>
                <w:b w:val="0"/>
                <w:i w:val="0"/>
                <w:color w:val="2A3140"/>
                <w:sz w:val="17"/>
              </w:rPr>
              <w:t>6.0%</w:t>
            </w:r>
          </w:p>
        </w:tc>
        <w:tc>
          <w:tcPr>
            <w:tcW w:type="dxa" w:w="1080"/>
          </w:tcPr>
          <w:p>
            <w:pPr>
              <w:jc w:val="right"/>
            </w:pPr>
            <w:r/>
            <w:r>
              <w:rPr>
                <w:rFonts w:ascii="Arial" w:hAnsi="Arial" w:eastAsia="Arial"/>
                <w:b w:val="0"/>
                <w:i w:val="0"/>
                <w:color w:val="2A3140"/>
                <w:sz w:val="17"/>
              </w:rPr>
              <w:t>8.4%</w:t>
            </w:r>
          </w:p>
        </w:tc>
        <w:tc>
          <w:tcPr>
            <w:tcW w:type="dxa" w:w="1080"/>
          </w:tcPr>
          <w:p>
            <w:pPr>
              <w:jc w:val="right"/>
            </w:pPr>
            <w:r/>
            <w:r>
              <w:rPr>
                <w:rFonts w:ascii="Arial" w:hAnsi="Arial" w:eastAsia="Arial"/>
                <w:b w:val="0"/>
                <w:i w:val="0"/>
                <w:color w:val="2A3140"/>
                <w:sz w:val="17"/>
              </w:rPr>
              <w:t>8.2%</w:t>
            </w:r>
          </w:p>
        </w:tc>
        <w:tc>
          <w:tcPr>
            <w:tcW w:type="dxa" w:w="1080"/>
          </w:tcPr>
          <w:p>
            <w:pPr>
              <w:jc w:val="right"/>
            </w:pPr>
            <w:r/>
            <w:r>
              <w:rPr>
                <w:rFonts w:ascii="Arial" w:hAnsi="Arial" w:eastAsia="Arial"/>
                <w:b w:val="0"/>
                <w:i w:val="0"/>
                <w:color w:val="2A3140"/>
                <w:sz w:val="17"/>
              </w:rPr>
              <w:t>8.4%</w:t>
            </w:r>
          </w:p>
        </w:tc>
        <w:tc>
          <w:tcPr>
            <w:tcW w:type="dxa" w:w="1080"/>
          </w:tcPr>
          <w:p>
            <w:pPr>
              <w:jc w:val="right"/>
            </w:pPr>
            <w:r/>
            <w:r>
              <w:rPr>
                <w:rFonts w:ascii="Arial" w:hAnsi="Arial" w:eastAsia="Arial"/>
                <w:b w:val="0"/>
                <w:i w:val="0"/>
                <w:color w:val="2A3140"/>
                <w:sz w:val="17"/>
              </w:rPr>
              <w:t>6.7%</w:t>
            </w:r>
          </w:p>
        </w:tc>
        <w:tc>
          <w:tcPr>
            <w:tcW w:type="dxa" w:w="1080"/>
          </w:tcPr>
          <w:p>
            <w:pPr>
              <w:jc w:val="right"/>
            </w:pPr>
            <w:r/>
            <w:r>
              <w:rPr>
                <w:rFonts w:ascii="Arial" w:hAnsi="Arial" w:eastAsia="Arial"/>
                <w:b w:val="0"/>
                <w:i w:val="0"/>
                <w:color w:val="2A3140"/>
                <w:sz w:val="17"/>
              </w:rPr>
              <w:t>n/a</w:t>
            </w:r>
          </w:p>
        </w:tc>
      </w:tr>
    </w:tbl>
    <w:p/>
    <w:p>
      <w:r>
        <w:rPr>
          <w:rFonts w:ascii="Arial" w:hAnsi="Arial" w:eastAsia="Arial"/>
          <w:b w:val="0"/>
          <w:i/>
          <w:color w:val="5B6475"/>
          <w:sz w:val="16"/>
        </w:rPr>
        <w:t>Source: Exhibit 1 (Forms 10-K FY2024 and FY2025; Form 10-Q 2Q26). FY2023 includes the credit card portfolio, sold in November 2024. Rates are not additive, so LTM rates are n/a.</w:t>
      </w:r>
    </w:p>
    <w:p>
      <w:r>
        <w:rPr>
          <w:rFonts w:ascii="Arial" w:hAnsi="Arial" w:eastAsia="Arial"/>
          <w:b w:val="0"/>
          <w:i w:val="0"/>
          <w:color w:val="2A3140"/>
          <w:sz w:val="21"/>
        </w:rPr>
        <w:t>Adjusted EBITDA is the company's non-GAAP measure. It adds back income tax, interest on corporate financing, depreciation and amortization, stock-based compensation, workforce optimization and other non-recurring charges, and a fair value mark-to-market adjustment. It does not add back interest on securitization and warehouse debt, and it is after net charge-offs. The full bridge is in Exhibit 1. Management guided on 5 Aug 2026 to FY2026 Adjusted EBITDA of $160M–$175M, total revenue of $935M–$955M and an annualized net charge-off rate of 11.7% ± 30bp.</w:t>
      </w:r>
    </w:p>
    <w:p>
      <w:r>
        <w:rPr>
          <w:rFonts w:ascii="Arial" w:hAnsi="Arial" w:eastAsia="Arial"/>
          <w:b w:val="0"/>
          <w:i w:val="0"/>
          <w:color w:val="2A3140"/>
          <w:sz w:val="21"/>
        </w:rPr>
        <w:t>Exhibit 4 gives 15 quarters of credit metrics (Q4-22 to Q2-26) and eight quarters of earnings (Q3-24 to Q2-26).</w:t>
      </w:r>
    </w:p>
    <w:p>
      <w:pPr>
        <w:spacing w:before="240"/>
      </w:pPr>
      <w:r>
        <w:rPr>
          <w:rFonts w:ascii="Georgia" w:hAnsi="Georgia" w:eastAsia="Georgia"/>
          <w:b/>
          <w:i w:val="0"/>
          <w:color w:val="1E3A5F"/>
          <w:sz w:val="26"/>
        </w:rPr>
        <w:t>5. Sources and uses and pro forma capitalization</w:t>
      </w:r>
    </w:p>
    <w:p>
      <w:r>
        <w:rPr>
          <w:rFonts w:ascii="Arial" w:hAnsi="Arial" w:eastAsia="Arial"/>
          <w:b/>
          <w:i w:val="0"/>
          <w:color w:val="2A3140"/>
          <w:sz w:val="21"/>
        </w:rPr>
        <w:t>Sources and uses</w:t>
      </w:r>
      <w:r>
        <w:rPr>
          <w:rFonts w:ascii="Arial" w:hAnsi="Arial" w:eastAsia="Arial"/>
          <w:b w:val="0"/>
          <w:i w:val="0"/>
          <w:color w:val="2A3140"/>
          <w:sz w:val="21"/>
        </w:rPr>
        <w:t xml:space="preserve"> ($M; hypothetical)</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2208"/>
        <w:gridCol w:w="2208"/>
        <w:gridCol w:w="2208"/>
      </w:tblGrid>
      <w:tr>
        <w:tc>
          <w:tcPr>
            <w:tcW w:type="dxa" w:w="2736"/>
            <w:shd w:val="clear" w:color="auto" w:fill="E4EAF3"/>
          </w:tcPr>
          <w:p>
            <w:r/>
            <w:r>
              <w:rPr>
                <w:rFonts w:ascii="Arial" w:hAnsi="Arial" w:eastAsia="Arial"/>
                <w:b/>
                <w:i w:val="0"/>
                <w:color w:val="121826"/>
                <w:sz w:val="17"/>
              </w:rPr>
              <w:t>Sources</w:t>
            </w:r>
          </w:p>
        </w:tc>
        <w:tc>
          <w:tcPr>
            <w:tcW w:type="dxa" w:w="2208"/>
            <w:shd w:val="clear" w:color="auto" w:fill="E4EAF3"/>
          </w:tcPr>
          <w:p>
            <w:r/>
            <w:r>
              <w:rPr>
                <w:rFonts w:ascii="Arial" w:hAnsi="Arial" w:eastAsia="Arial"/>
                <w:b/>
                <w:i w:val="0"/>
                <w:color w:val="121826"/>
                <w:sz w:val="17"/>
              </w:rPr>
              <w:t>$M</w:t>
            </w:r>
          </w:p>
        </w:tc>
        <w:tc>
          <w:tcPr>
            <w:tcW w:type="dxa" w:w="2208"/>
            <w:shd w:val="clear" w:color="auto" w:fill="E4EAF3"/>
          </w:tcPr>
          <w:p>
            <w:r/>
            <w:r>
              <w:rPr>
                <w:rFonts w:ascii="Arial" w:hAnsi="Arial" w:eastAsia="Arial"/>
                <w:b/>
                <w:i w:val="0"/>
                <w:color w:val="121826"/>
                <w:sz w:val="17"/>
              </w:rPr>
              <w:t>Uses</w:t>
            </w:r>
          </w:p>
        </w:tc>
        <w:tc>
          <w:tcPr>
            <w:tcW w:type="dxa" w:w="2208"/>
            <w:shd w:val="clear" w:color="auto" w:fill="E4EAF3"/>
          </w:tcPr>
          <w:p>
            <w:r/>
            <w:r>
              <w:rPr>
                <w:rFonts w:ascii="Arial" w:hAnsi="Arial" w:eastAsia="Arial"/>
                <w:b/>
                <w:i w:val="0"/>
                <w:color w:val="121826"/>
                <w:sz w:val="17"/>
              </w:rPr>
              <w:t>$M</w:t>
            </w:r>
          </w:p>
        </w:tc>
      </w:tr>
      <w:tr>
        <w:tc>
          <w:tcPr>
            <w:tcW w:type="dxa" w:w="2736"/>
          </w:tcPr>
          <w:p>
            <w:r/>
            <w:r>
              <w:rPr>
                <w:rFonts w:ascii="Arial" w:hAnsi="Arial" w:eastAsia="Arial"/>
                <w:b w:val="0"/>
                <w:i w:val="0"/>
                <w:color w:val="2A3140"/>
                <w:sz w:val="17"/>
              </w:rPr>
              <w:t>New senior secured term loan</w:t>
            </w:r>
          </w:p>
        </w:tc>
        <w:tc>
          <w:tcPr>
            <w:tcW w:type="dxa" w:w="2208"/>
          </w:tcPr>
          <w:p>
            <w:pPr>
              <w:jc w:val="right"/>
            </w:pPr>
            <w:r/>
            <w:r>
              <w:rPr>
                <w:rFonts w:ascii="Arial" w:hAnsi="Arial" w:eastAsia="Arial"/>
                <w:b w:val="0"/>
                <w:i w:val="0"/>
                <w:color w:val="2A3140"/>
                <w:sz w:val="17"/>
              </w:rPr>
              <w:t>150.0</w:t>
            </w:r>
          </w:p>
        </w:tc>
        <w:tc>
          <w:tcPr>
            <w:tcW w:type="dxa" w:w="2208"/>
          </w:tcPr>
          <w:p>
            <w:r/>
            <w:r>
              <w:rPr>
                <w:rFonts w:ascii="Arial" w:hAnsi="Arial" w:eastAsia="Arial"/>
                <w:b w:val="0"/>
                <w:i w:val="0"/>
                <w:color w:val="2A3140"/>
                <w:sz w:val="17"/>
              </w:rPr>
              <w:t>Repay existing term loan principal</w:t>
            </w:r>
          </w:p>
        </w:tc>
        <w:tc>
          <w:tcPr>
            <w:tcW w:type="dxa" w:w="2208"/>
          </w:tcPr>
          <w:p>
            <w:pPr>
              <w:jc w:val="right"/>
            </w:pPr>
            <w:r/>
            <w:r>
              <w:rPr>
                <w:rFonts w:ascii="Arial" w:hAnsi="Arial" w:eastAsia="Arial"/>
                <w:b w:val="0"/>
                <w:i w:val="0"/>
                <w:color w:val="2A3140"/>
                <w:sz w:val="17"/>
              </w:rPr>
              <w:t>135.0</w:t>
            </w:r>
          </w:p>
        </w:tc>
      </w:tr>
      <w:tr>
        <w:tc>
          <w:tcPr>
            <w:tcW w:type="dxa" w:w="2736"/>
          </w:tcPr>
          <w:p>
            <w:r/>
          </w:p>
        </w:tc>
        <w:tc>
          <w:tcPr>
            <w:tcW w:type="dxa" w:w="2208"/>
          </w:tcPr>
          <w:p>
            <w:r/>
          </w:p>
        </w:tc>
        <w:tc>
          <w:tcPr>
            <w:tcW w:type="dxa" w:w="2208"/>
          </w:tcPr>
          <w:p>
            <w:r/>
            <w:r>
              <w:rPr>
                <w:rFonts w:ascii="Arial" w:hAnsi="Arial" w:eastAsia="Arial"/>
                <w:b w:val="0"/>
                <w:i w:val="0"/>
                <w:color w:val="2A3140"/>
                <w:sz w:val="17"/>
              </w:rPr>
              <w:t>Prepayment premium (4.00%)</w:t>
            </w:r>
          </w:p>
        </w:tc>
        <w:tc>
          <w:tcPr>
            <w:tcW w:type="dxa" w:w="2208"/>
          </w:tcPr>
          <w:p>
            <w:pPr>
              <w:jc w:val="right"/>
            </w:pPr>
            <w:r/>
            <w:r>
              <w:rPr>
                <w:rFonts w:ascii="Arial" w:hAnsi="Arial" w:eastAsia="Arial"/>
                <w:b w:val="0"/>
                <w:i w:val="0"/>
                <w:color w:val="2A3140"/>
                <w:sz w:val="17"/>
              </w:rPr>
              <w:t>5.4</w:t>
            </w:r>
          </w:p>
        </w:tc>
      </w:tr>
      <w:tr>
        <w:tc>
          <w:tcPr>
            <w:tcW w:type="dxa" w:w="2736"/>
          </w:tcPr>
          <w:p>
            <w:r/>
          </w:p>
        </w:tc>
        <w:tc>
          <w:tcPr>
            <w:tcW w:type="dxa" w:w="2208"/>
          </w:tcPr>
          <w:p>
            <w:r/>
          </w:p>
        </w:tc>
        <w:tc>
          <w:tcPr>
            <w:tcW w:type="dxa" w:w="2208"/>
          </w:tcPr>
          <w:p>
            <w:r/>
            <w:r>
              <w:rPr>
                <w:rFonts w:ascii="Arial" w:hAnsi="Arial" w:eastAsia="Arial"/>
                <w:b w:val="0"/>
                <w:i w:val="0"/>
                <w:color w:val="2A3140"/>
                <w:sz w:val="17"/>
              </w:rPr>
              <w:t>OID (2.0% of par)</w:t>
            </w:r>
          </w:p>
        </w:tc>
        <w:tc>
          <w:tcPr>
            <w:tcW w:type="dxa" w:w="2208"/>
          </w:tcPr>
          <w:p>
            <w:pPr>
              <w:jc w:val="right"/>
            </w:pPr>
            <w:r/>
            <w:r>
              <w:rPr>
                <w:rFonts w:ascii="Arial" w:hAnsi="Arial" w:eastAsia="Arial"/>
                <w:b w:val="0"/>
                <w:i w:val="0"/>
                <w:color w:val="2A3140"/>
                <w:sz w:val="17"/>
              </w:rPr>
              <w:t>3.0</w:t>
            </w:r>
          </w:p>
        </w:tc>
      </w:tr>
      <w:tr>
        <w:tc>
          <w:tcPr>
            <w:tcW w:type="dxa" w:w="2736"/>
          </w:tcPr>
          <w:p>
            <w:r/>
          </w:p>
        </w:tc>
        <w:tc>
          <w:tcPr>
            <w:tcW w:type="dxa" w:w="2208"/>
          </w:tcPr>
          <w:p>
            <w:r/>
          </w:p>
        </w:tc>
        <w:tc>
          <w:tcPr>
            <w:tcW w:type="dxa" w:w="2208"/>
          </w:tcPr>
          <w:p>
            <w:r/>
            <w:r>
              <w:rPr>
                <w:rFonts w:ascii="Arial" w:hAnsi="Arial" w:eastAsia="Arial"/>
                <w:b w:val="0"/>
                <w:i w:val="0"/>
                <w:color w:val="2A3140"/>
                <w:sz w:val="17"/>
              </w:rPr>
              <w:t>Arrangement, legal and other fees (illustrative)</w:t>
            </w:r>
          </w:p>
        </w:tc>
        <w:tc>
          <w:tcPr>
            <w:tcW w:type="dxa" w:w="2208"/>
          </w:tcPr>
          <w:p>
            <w:pPr>
              <w:jc w:val="right"/>
            </w:pPr>
            <w:r/>
            <w:r>
              <w:rPr>
                <w:rFonts w:ascii="Arial" w:hAnsi="Arial" w:eastAsia="Arial"/>
                <w:b w:val="0"/>
                <w:i w:val="0"/>
                <w:color w:val="2A3140"/>
                <w:sz w:val="17"/>
              </w:rPr>
              <w:t>2.0</w:t>
            </w:r>
          </w:p>
        </w:tc>
      </w:tr>
      <w:tr>
        <w:tc>
          <w:tcPr>
            <w:tcW w:type="dxa" w:w="2736"/>
          </w:tcPr>
          <w:p>
            <w:r/>
          </w:p>
        </w:tc>
        <w:tc>
          <w:tcPr>
            <w:tcW w:type="dxa" w:w="2208"/>
          </w:tcPr>
          <w:p>
            <w:r/>
          </w:p>
        </w:tc>
        <w:tc>
          <w:tcPr>
            <w:tcW w:type="dxa" w:w="2208"/>
          </w:tcPr>
          <w:p>
            <w:r/>
            <w:r>
              <w:rPr>
                <w:rFonts w:ascii="Arial" w:hAnsi="Arial" w:eastAsia="Arial"/>
                <w:b w:val="0"/>
                <w:i w:val="0"/>
                <w:color w:val="2A3140"/>
                <w:sz w:val="17"/>
              </w:rPr>
              <w:t>Cash to balance sheet</w:t>
            </w:r>
          </w:p>
        </w:tc>
        <w:tc>
          <w:tcPr>
            <w:tcW w:type="dxa" w:w="2208"/>
          </w:tcPr>
          <w:p>
            <w:pPr>
              <w:jc w:val="right"/>
            </w:pPr>
            <w:r/>
            <w:r>
              <w:rPr>
                <w:rFonts w:ascii="Arial" w:hAnsi="Arial" w:eastAsia="Arial"/>
                <w:b w:val="0"/>
                <w:i w:val="0"/>
                <w:color w:val="2A3140"/>
                <w:sz w:val="17"/>
              </w:rPr>
              <w:t>4.6</w:t>
            </w:r>
          </w:p>
        </w:tc>
      </w:tr>
      <w:tr>
        <w:tc>
          <w:tcPr>
            <w:tcW w:type="dxa" w:w="2736"/>
          </w:tcPr>
          <w:p>
            <w:r/>
            <w:r>
              <w:rPr>
                <w:rFonts w:ascii="Arial" w:hAnsi="Arial" w:eastAsia="Arial"/>
                <w:b/>
                <w:i w:val="0"/>
                <w:color w:val="2A3140"/>
                <w:sz w:val="17"/>
              </w:rPr>
              <w:t>Total sources</w:t>
            </w:r>
          </w:p>
        </w:tc>
        <w:tc>
          <w:tcPr>
            <w:tcW w:type="dxa" w:w="2208"/>
          </w:tcPr>
          <w:p>
            <w:pPr>
              <w:jc w:val="right"/>
            </w:pPr>
            <w:r/>
            <w:r>
              <w:rPr>
                <w:rFonts w:ascii="Arial" w:hAnsi="Arial" w:eastAsia="Arial"/>
                <w:b/>
                <w:i w:val="0"/>
                <w:color w:val="2A3140"/>
                <w:sz w:val="17"/>
              </w:rPr>
              <w:t>150.0</w:t>
            </w:r>
          </w:p>
        </w:tc>
        <w:tc>
          <w:tcPr>
            <w:tcW w:type="dxa" w:w="2208"/>
          </w:tcPr>
          <w:p>
            <w:r/>
            <w:r>
              <w:rPr>
                <w:rFonts w:ascii="Arial" w:hAnsi="Arial" w:eastAsia="Arial"/>
                <w:b/>
                <w:i w:val="0"/>
                <w:color w:val="2A3140"/>
                <w:sz w:val="17"/>
              </w:rPr>
              <w:t>Total uses</w:t>
            </w:r>
          </w:p>
        </w:tc>
        <w:tc>
          <w:tcPr>
            <w:tcW w:type="dxa" w:w="2208"/>
          </w:tcPr>
          <w:p>
            <w:pPr>
              <w:jc w:val="right"/>
            </w:pPr>
            <w:r/>
            <w:r>
              <w:rPr>
                <w:rFonts w:ascii="Arial" w:hAnsi="Arial" w:eastAsia="Arial"/>
                <w:b/>
                <w:i w:val="0"/>
                <w:color w:val="2A3140"/>
                <w:sz w:val="17"/>
              </w:rPr>
              <w:t>150.0</w:t>
            </w:r>
          </w:p>
        </w:tc>
      </w:tr>
    </w:tbl>
    <w:p/>
    <w:p>
      <w:r>
        <w:rPr>
          <w:rFonts w:ascii="Arial" w:hAnsi="Arial" w:eastAsia="Arial"/>
          <w:b/>
          <w:i w:val="0"/>
          <w:color w:val="2A3140"/>
          <w:sz w:val="21"/>
        </w:rPr>
        <w:t>Pro forma capitalization at 30 Jun 2026</w:t>
      </w:r>
      <w:r>
        <w:rPr>
          <w:rFonts w:ascii="Arial" w:hAnsi="Arial" w:eastAsia="Arial"/>
          <w:b w:val="0"/>
          <w:i w:val="0"/>
          <w:color w:val="2A3140"/>
          <w:sz w:val="21"/>
        </w:rPr>
        <w:t xml:space="preserve"> ($M; cumulative exposure as % of owned principal of $2,613.4M)</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080"/>
        <w:gridCol w:w="1080"/>
        <w:gridCol w:w="1080"/>
        <w:gridCol w:w="1080"/>
        <w:gridCol w:w="1080"/>
        <w:gridCol w:w="1080"/>
      </w:tblGrid>
      <w:tr>
        <w:tc>
          <w:tcPr>
            <w:tcW w:type="dxa" w:w="2880"/>
            <w:shd w:val="clear" w:color="auto" w:fill="E4EAF3"/>
          </w:tcPr>
          <w:p>
            <w:r/>
            <w:r>
              <w:rPr>
                <w:rFonts w:ascii="Arial" w:hAnsi="Arial" w:eastAsia="Arial"/>
                <w:b/>
                <w:i w:val="0"/>
                <w:color w:val="121826"/>
                <w:sz w:val="17"/>
              </w:rPr>
              <w:t>Tranche</w:t>
            </w:r>
          </w:p>
        </w:tc>
        <w:tc>
          <w:tcPr>
            <w:tcW w:type="dxa" w:w="1080"/>
            <w:shd w:val="clear" w:color="auto" w:fill="E4EAF3"/>
          </w:tcPr>
          <w:p>
            <w:r/>
            <w:r>
              <w:rPr>
                <w:rFonts w:ascii="Arial" w:hAnsi="Arial" w:eastAsia="Arial"/>
                <w:b/>
                <w:i w:val="0"/>
                <w:color w:val="121826"/>
                <w:sz w:val="17"/>
              </w:rPr>
              <w:t>Jun-26A</w:t>
            </w:r>
          </w:p>
        </w:tc>
        <w:tc>
          <w:tcPr>
            <w:tcW w:type="dxa" w:w="1080"/>
            <w:shd w:val="clear" w:color="auto" w:fill="E4EAF3"/>
          </w:tcPr>
          <w:p>
            <w:r/>
            <w:r>
              <w:rPr>
                <w:rFonts w:ascii="Arial" w:hAnsi="Arial" w:eastAsia="Arial"/>
                <w:b/>
                <w:i w:val="0"/>
                <w:color w:val="121826"/>
                <w:sz w:val="17"/>
              </w:rPr>
              <w:t>Adjustment</w:t>
            </w:r>
          </w:p>
        </w:tc>
        <w:tc>
          <w:tcPr>
            <w:tcW w:type="dxa" w:w="1080"/>
            <w:shd w:val="clear" w:color="auto" w:fill="E4EAF3"/>
          </w:tcPr>
          <w:p>
            <w:r/>
            <w:r>
              <w:rPr>
                <w:rFonts w:ascii="Arial" w:hAnsi="Arial" w:eastAsia="Arial"/>
                <w:b/>
                <w:i w:val="0"/>
                <w:color w:val="121826"/>
                <w:sz w:val="17"/>
              </w:rPr>
              <w:t>Pro forma</w:t>
            </w:r>
          </w:p>
        </w:tc>
        <w:tc>
          <w:tcPr>
            <w:tcW w:type="dxa" w:w="1080"/>
            <w:shd w:val="clear" w:color="auto" w:fill="E4EAF3"/>
          </w:tcPr>
          <w:p>
            <w:r/>
            <w:r>
              <w:rPr>
                <w:rFonts w:ascii="Arial" w:hAnsi="Arial" w:eastAsia="Arial"/>
                <w:b/>
                <w:i w:val="0"/>
                <w:color w:val="121826"/>
                <w:sz w:val="17"/>
              </w:rPr>
              <w:t>Cumulative % of owned principal</w:t>
            </w:r>
          </w:p>
        </w:tc>
        <w:tc>
          <w:tcPr>
            <w:tcW w:type="dxa" w:w="1080"/>
            <w:shd w:val="clear" w:color="auto" w:fill="E4EAF3"/>
          </w:tcPr>
          <w:p>
            <w:r/>
            <w:r>
              <w:rPr>
                <w:rFonts w:ascii="Arial" w:hAnsi="Arial" w:eastAsia="Arial"/>
                <w:b/>
                <w:i w:val="0"/>
                <w:color w:val="121826"/>
                <w:sz w:val="17"/>
              </w:rPr>
              <w:t>Pricing</w:t>
            </w:r>
          </w:p>
        </w:tc>
        <w:tc>
          <w:tcPr>
            <w:tcW w:type="dxa" w:w="1080"/>
            <w:shd w:val="clear" w:color="auto" w:fill="E4EAF3"/>
          </w:tcPr>
          <w:p>
            <w:r/>
            <w:r>
              <w:rPr>
                <w:rFonts w:ascii="Arial" w:hAnsi="Arial" w:eastAsia="Arial"/>
                <w:b/>
                <w:i w:val="0"/>
                <w:color w:val="121826"/>
                <w:sz w:val="17"/>
              </w:rPr>
              <w:t>Maturity</w:t>
            </w:r>
          </w:p>
        </w:tc>
      </w:tr>
      <w:tr>
        <w:tc>
          <w:tcPr>
            <w:tcW w:type="dxa" w:w="2880"/>
          </w:tcPr>
          <w:p>
            <w:r/>
            <w:r>
              <w:rPr>
                <w:rFonts w:ascii="Arial" w:hAnsi="Arial" w:eastAsia="Arial"/>
                <w:b w:val="0"/>
                <w:i w:val="0"/>
                <w:color w:val="2A3140"/>
                <w:sz w:val="17"/>
              </w:rPr>
              <w:t>Warehouses (5 PLW facilities)</w:t>
            </w:r>
          </w:p>
        </w:tc>
        <w:tc>
          <w:tcPr>
            <w:tcW w:type="dxa" w:w="1080"/>
          </w:tcPr>
          <w:p>
            <w:pPr>
              <w:jc w:val="right"/>
            </w:pPr>
            <w:r/>
            <w:r>
              <w:rPr>
                <w:rFonts w:ascii="Arial" w:hAnsi="Arial" w:eastAsia="Arial"/>
                <w:b w:val="0"/>
                <w:i w:val="0"/>
                <w:color w:val="2A3140"/>
                <w:sz w:val="17"/>
              </w:rPr>
              <w:t>304.2</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304.2</w:t>
            </w:r>
          </w:p>
        </w:tc>
        <w:tc>
          <w:tcPr>
            <w:tcW w:type="dxa" w:w="1080"/>
          </w:tcPr>
          <w:p>
            <w:pPr>
              <w:jc w:val="right"/>
            </w:pPr>
            <w:r/>
            <w:r>
              <w:rPr>
                <w:rFonts w:ascii="Arial" w:hAnsi="Arial" w:eastAsia="Arial"/>
                <w:b w:val="0"/>
                <w:i w:val="0"/>
                <w:color w:val="2A3140"/>
                <w:sz w:val="17"/>
              </w:rPr>
              <w:t>11.6%</w:t>
            </w:r>
          </w:p>
        </w:tc>
        <w:tc>
          <w:tcPr>
            <w:tcW w:type="dxa" w:w="1080"/>
          </w:tcPr>
          <w:p>
            <w:r/>
            <w:r>
              <w:rPr>
                <w:rFonts w:ascii="Arial" w:hAnsi="Arial" w:eastAsia="Arial"/>
                <w:b w:val="0"/>
                <w:i w:val="0"/>
                <w:color w:val="2A3140"/>
                <w:sz w:val="17"/>
              </w:rPr>
              <w:t>Floating</w:t>
            </w:r>
          </w:p>
        </w:tc>
        <w:tc>
          <w:tcPr>
            <w:tcW w:type="dxa" w:w="1080"/>
          </w:tcPr>
          <w:p>
            <w:r/>
            <w:r>
              <w:rPr>
                <w:rFonts w:ascii="Arial" w:hAnsi="Arial" w:eastAsia="Arial"/>
                <w:b w:val="0"/>
                <w:i w:val="0"/>
                <w:color w:val="2A3140"/>
                <w:sz w:val="17"/>
              </w:rPr>
              <w:t>Apr-28 to Jul-30</w:t>
            </w:r>
          </w:p>
        </w:tc>
      </w:tr>
      <w:tr>
        <w:tc>
          <w:tcPr>
            <w:tcW w:type="dxa" w:w="2880"/>
          </w:tcPr>
          <w:p>
            <w:r/>
            <w:r>
              <w:rPr>
                <w:rFonts w:ascii="Arial" w:hAnsi="Arial" w:eastAsia="Arial"/>
                <w:b w:val="0"/>
                <w:i w:val="0"/>
                <w:color w:val="2A3140"/>
                <w:sz w:val="17"/>
              </w:rPr>
              <w:t>Asset-backed notes at fair value (2021-B, 2021-C)</w:t>
            </w:r>
          </w:p>
        </w:tc>
        <w:tc>
          <w:tcPr>
            <w:tcW w:type="dxa" w:w="1080"/>
          </w:tcPr>
          <w:p>
            <w:pPr>
              <w:jc w:val="right"/>
            </w:pPr>
            <w:r/>
            <w:r>
              <w:rPr>
                <w:rFonts w:ascii="Arial" w:hAnsi="Arial" w:eastAsia="Arial"/>
                <w:b w:val="0"/>
                <w:i w:val="0"/>
                <w:color w:val="2A3140"/>
                <w:sz w:val="17"/>
              </w:rPr>
              <w:t>137.8</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137.8</w:t>
            </w:r>
          </w:p>
        </w:tc>
        <w:tc>
          <w:tcPr>
            <w:tcW w:type="dxa" w:w="1080"/>
          </w:tcPr>
          <w:p>
            <w:pPr>
              <w:jc w:val="right"/>
            </w:pPr>
            <w:r/>
            <w:r>
              <w:rPr>
                <w:rFonts w:ascii="Arial" w:hAnsi="Arial" w:eastAsia="Arial"/>
                <w:b w:val="0"/>
                <w:i w:val="0"/>
                <w:color w:val="2A3140"/>
                <w:sz w:val="17"/>
              </w:rPr>
              <w:t>16.9%</w:t>
            </w:r>
          </w:p>
        </w:tc>
        <w:tc>
          <w:tcPr>
            <w:tcW w:type="dxa" w:w="1080"/>
          </w:tcPr>
          <w:p>
            <w:r/>
            <w:r>
              <w:rPr>
                <w:rFonts w:ascii="Arial" w:hAnsi="Arial" w:eastAsia="Arial"/>
                <w:b w:val="0"/>
                <w:i w:val="0"/>
                <w:color w:val="2A3140"/>
                <w:sz w:val="17"/>
              </w:rPr>
              <w:t>2.05%–2.48% fixed</w:t>
            </w:r>
          </w:p>
        </w:tc>
        <w:tc>
          <w:tcPr>
            <w:tcW w:type="dxa" w:w="1080"/>
          </w:tcPr>
          <w:p>
            <w:r/>
            <w:r>
              <w:rPr>
                <w:rFonts w:ascii="Arial" w:hAnsi="Arial" w:eastAsia="Arial"/>
                <w:b w:val="0"/>
                <w:i w:val="0"/>
                <w:color w:val="2A3140"/>
                <w:sz w:val="17"/>
              </w:rPr>
              <w:t>Amortizing</w:t>
            </w:r>
          </w:p>
        </w:tc>
      </w:tr>
      <w:tr>
        <w:tc>
          <w:tcPr>
            <w:tcW w:type="dxa" w:w="2880"/>
          </w:tcPr>
          <w:p>
            <w:r/>
            <w:r>
              <w:rPr>
                <w:rFonts w:ascii="Arial" w:hAnsi="Arial" w:eastAsia="Arial"/>
                <w:b w:val="0"/>
                <w:i w:val="0"/>
                <w:color w:val="2A3140"/>
                <w:sz w:val="17"/>
              </w:rPr>
              <w:t>Asset-backed borrowings at amortized cost</w:t>
            </w:r>
          </w:p>
        </w:tc>
        <w:tc>
          <w:tcPr>
            <w:tcW w:type="dxa" w:w="1080"/>
          </w:tcPr>
          <w:p>
            <w:pPr>
              <w:jc w:val="right"/>
            </w:pPr>
            <w:r/>
            <w:r>
              <w:rPr>
                <w:rFonts w:ascii="Arial" w:hAnsi="Arial" w:eastAsia="Arial"/>
                <w:b w:val="0"/>
                <w:i w:val="0"/>
                <w:color w:val="2A3140"/>
                <w:sz w:val="17"/>
              </w:rPr>
              <w:t>2,088.5</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2,088.5</w:t>
            </w:r>
          </w:p>
        </w:tc>
        <w:tc>
          <w:tcPr>
            <w:tcW w:type="dxa" w:w="1080"/>
          </w:tcPr>
          <w:p>
            <w:pPr>
              <w:jc w:val="right"/>
            </w:pPr>
            <w:r/>
            <w:r>
              <w:rPr>
                <w:rFonts w:ascii="Arial" w:hAnsi="Arial" w:eastAsia="Arial"/>
                <w:b w:val="0"/>
                <w:i w:val="0"/>
                <w:color w:val="2A3140"/>
                <w:sz w:val="17"/>
              </w:rPr>
              <w:t>96.8%</w:t>
            </w:r>
          </w:p>
        </w:tc>
        <w:tc>
          <w:tcPr>
            <w:tcW w:type="dxa" w:w="1080"/>
          </w:tcPr>
          <w:p>
            <w:r/>
            <w:r>
              <w:rPr>
                <w:rFonts w:ascii="Arial" w:hAnsi="Arial" w:eastAsia="Arial"/>
                <w:b w:val="0"/>
                <w:i w:val="0"/>
                <w:color w:val="2A3140"/>
                <w:sz w:val="17"/>
              </w:rPr>
              <w:t>5.23%–9.84% fixed</w:t>
            </w:r>
          </w:p>
        </w:tc>
        <w:tc>
          <w:tcPr>
            <w:tcW w:type="dxa" w:w="1080"/>
          </w:tcPr>
          <w:p>
            <w:r/>
            <w:r>
              <w:rPr>
                <w:rFonts w:ascii="Arial" w:hAnsi="Arial" w:eastAsia="Arial"/>
                <w:b w:val="0"/>
                <w:i w:val="0"/>
                <w:color w:val="2A3140"/>
                <w:sz w:val="17"/>
              </w:rPr>
              <w:t>Revolving to 2027–28</w:t>
            </w:r>
          </w:p>
        </w:tc>
      </w:tr>
      <w:tr>
        <w:tc>
          <w:tcPr>
            <w:tcW w:type="dxa" w:w="2880"/>
          </w:tcPr>
          <w:p>
            <w:r/>
            <w:r>
              <w:rPr>
                <w:rFonts w:ascii="Arial" w:hAnsi="Arial" w:eastAsia="Arial"/>
                <w:b/>
                <w:i w:val="0"/>
                <w:color w:val="2A3140"/>
                <w:sz w:val="17"/>
              </w:rPr>
              <w:t>Securitization and warehouse debt (non-recourse)</w:t>
            </w:r>
          </w:p>
        </w:tc>
        <w:tc>
          <w:tcPr>
            <w:tcW w:type="dxa" w:w="1080"/>
          </w:tcPr>
          <w:p>
            <w:pPr>
              <w:jc w:val="right"/>
            </w:pPr>
            <w:r/>
            <w:r>
              <w:rPr>
                <w:rFonts w:ascii="Arial" w:hAnsi="Arial" w:eastAsia="Arial"/>
                <w:b/>
                <w:i w:val="0"/>
                <w:color w:val="2A3140"/>
                <w:sz w:val="17"/>
              </w:rPr>
              <w:t>2,530.4</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i w:val="0"/>
                <w:color w:val="2A3140"/>
                <w:sz w:val="17"/>
              </w:rPr>
              <w:t>2,530.4</w:t>
            </w:r>
          </w:p>
        </w:tc>
        <w:tc>
          <w:tcPr>
            <w:tcW w:type="dxa" w:w="1080"/>
          </w:tcPr>
          <w:p>
            <w:r/>
          </w:p>
        </w:tc>
        <w:tc>
          <w:tcPr>
            <w:tcW w:type="dxa" w:w="1080"/>
          </w:tcPr>
          <w:p>
            <w:r/>
          </w:p>
        </w:tc>
        <w:tc>
          <w:tcPr>
            <w:tcW w:type="dxa" w:w="1080"/>
          </w:tcPr>
          <w:p>
            <w:r/>
          </w:p>
        </w:tc>
      </w:tr>
      <w:tr>
        <w:tc>
          <w:tcPr>
            <w:tcW w:type="dxa" w:w="2880"/>
          </w:tcPr>
          <w:p>
            <w:r/>
            <w:r>
              <w:rPr>
                <w:rFonts w:ascii="Arial" w:hAnsi="Arial" w:eastAsia="Arial"/>
                <w:b w:val="0"/>
                <w:i w:val="0"/>
                <w:color w:val="2A3140"/>
                <w:sz w:val="17"/>
              </w:rPr>
              <w:t>Existing senior secured term loan</w:t>
            </w:r>
          </w:p>
        </w:tc>
        <w:tc>
          <w:tcPr>
            <w:tcW w:type="dxa" w:w="1080"/>
          </w:tcPr>
          <w:p>
            <w:pPr>
              <w:jc w:val="right"/>
            </w:pPr>
            <w:r/>
            <w:r>
              <w:rPr>
                <w:rFonts w:ascii="Arial" w:hAnsi="Arial" w:eastAsia="Arial"/>
                <w:b w:val="0"/>
                <w:i w:val="0"/>
                <w:color w:val="2A3140"/>
                <w:sz w:val="17"/>
              </w:rPr>
              <w:t>135.0</w:t>
            </w:r>
          </w:p>
        </w:tc>
        <w:tc>
          <w:tcPr>
            <w:tcW w:type="dxa" w:w="1080"/>
          </w:tcPr>
          <w:p>
            <w:pPr>
              <w:jc w:val="right"/>
            </w:pPr>
            <w:r/>
            <w:r>
              <w:rPr>
                <w:rFonts w:ascii="Arial" w:hAnsi="Arial" w:eastAsia="Arial"/>
                <w:b w:val="0"/>
                <w:i w:val="0"/>
                <w:color w:val="2A3140"/>
                <w:sz w:val="17"/>
              </w:rPr>
              <w:t>(135.0)</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96.8%</w:t>
            </w:r>
          </w:p>
        </w:tc>
        <w:tc>
          <w:tcPr>
            <w:tcW w:type="dxa" w:w="1080"/>
          </w:tcPr>
          <w:p>
            <w:r/>
            <w:r>
              <w:rPr>
                <w:rFonts w:ascii="Arial" w:hAnsi="Arial" w:eastAsia="Arial"/>
                <w:b w:val="0"/>
                <w:i w:val="0"/>
                <w:color w:val="2A3140"/>
                <w:sz w:val="17"/>
              </w:rPr>
              <w:t>15.00% fixed</w:t>
            </w:r>
          </w:p>
        </w:tc>
        <w:tc>
          <w:tcPr>
            <w:tcW w:type="dxa" w:w="1080"/>
          </w:tcPr>
          <w:p>
            <w:r/>
            <w:r>
              <w:rPr>
                <w:rFonts w:ascii="Arial" w:hAnsi="Arial" w:eastAsia="Arial"/>
                <w:b w:val="0"/>
                <w:i w:val="0"/>
                <w:color w:val="2A3140"/>
                <w:sz w:val="17"/>
              </w:rPr>
              <w:t>14 Nov 2028</w:t>
            </w:r>
          </w:p>
        </w:tc>
      </w:tr>
      <w:tr>
        <w:tc>
          <w:tcPr>
            <w:tcW w:type="dxa" w:w="2880"/>
          </w:tcPr>
          <w:p>
            <w:r/>
            <w:r>
              <w:rPr>
                <w:rFonts w:ascii="Arial" w:hAnsi="Arial" w:eastAsia="Arial"/>
                <w:b w:val="0"/>
                <w:i w:val="0"/>
                <w:color w:val="2A3140"/>
                <w:sz w:val="17"/>
              </w:rPr>
              <w:t>Proposed senior secured term loan</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150.0</w:t>
            </w:r>
          </w:p>
        </w:tc>
        <w:tc>
          <w:tcPr>
            <w:tcW w:type="dxa" w:w="1080"/>
          </w:tcPr>
          <w:p>
            <w:pPr>
              <w:jc w:val="right"/>
            </w:pPr>
            <w:r/>
            <w:r>
              <w:rPr>
                <w:rFonts w:ascii="Arial" w:hAnsi="Arial" w:eastAsia="Arial"/>
                <w:b w:val="0"/>
                <w:i w:val="0"/>
                <w:color w:val="2A3140"/>
                <w:sz w:val="17"/>
              </w:rPr>
              <w:t>150.0</w:t>
            </w:r>
          </w:p>
        </w:tc>
        <w:tc>
          <w:tcPr>
            <w:tcW w:type="dxa" w:w="1080"/>
          </w:tcPr>
          <w:p>
            <w:pPr>
              <w:jc w:val="right"/>
            </w:pPr>
            <w:r/>
            <w:r>
              <w:rPr>
                <w:rFonts w:ascii="Arial" w:hAnsi="Arial" w:eastAsia="Arial"/>
                <w:b w:val="0"/>
                <w:i w:val="0"/>
                <w:color w:val="2A3140"/>
                <w:sz w:val="17"/>
              </w:rPr>
              <w:t>102.6%</w:t>
            </w:r>
          </w:p>
        </w:tc>
        <w:tc>
          <w:tcPr>
            <w:tcW w:type="dxa" w:w="1080"/>
          </w:tcPr>
          <w:p>
            <w:r/>
            <w:r>
              <w:rPr>
                <w:rFonts w:ascii="Arial" w:hAnsi="Arial" w:eastAsia="Arial"/>
                <w:b w:val="0"/>
                <w:i w:val="0"/>
                <w:color w:val="2A3140"/>
                <w:sz w:val="17"/>
              </w:rPr>
              <w:t>3M Term SOFR + 7.50%</w:t>
            </w:r>
          </w:p>
        </w:tc>
        <w:tc>
          <w:tcPr>
            <w:tcW w:type="dxa" w:w="1080"/>
          </w:tcPr>
          <w:p>
            <w:r/>
            <w:r>
              <w:rPr>
                <w:rFonts w:ascii="Arial" w:hAnsi="Arial" w:eastAsia="Arial"/>
                <w:b w:val="0"/>
                <w:i w:val="0"/>
                <w:color w:val="2A3140"/>
                <w:sz w:val="17"/>
              </w:rPr>
              <w:t>4 years</w:t>
            </w:r>
          </w:p>
        </w:tc>
      </w:tr>
      <w:tr>
        <w:tc>
          <w:tcPr>
            <w:tcW w:type="dxa" w:w="2880"/>
          </w:tcPr>
          <w:p>
            <w:r/>
            <w:r>
              <w:rPr>
                <w:rFonts w:ascii="Arial" w:hAnsi="Arial" w:eastAsia="Arial"/>
                <w:b/>
                <w:i w:val="0"/>
                <w:color w:val="2A3140"/>
                <w:sz w:val="17"/>
              </w:rPr>
              <w:t>Total debt</w:t>
            </w:r>
          </w:p>
        </w:tc>
        <w:tc>
          <w:tcPr>
            <w:tcW w:type="dxa" w:w="1080"/>
          </w:tcPr>
          <w:p>
            <w:pPr>
              <w:jc w:val="right"/>
            </w:pPr>
            <w:r/>
            <w:r>
              <w:rPr>
                <w:rFonts w:ascii="Arial" w:hAnsi="Arial" w:eastAsia="Arial"/>
                <w:b/>
                <w:i w:val="0"/>
                <w:color w:val="2A3140"/>
                <w:sz w:val="17"/>
              </w:rPr>
              <w:t>2,665.4</w:t>
            </w:r>
          </w:p>
        </w:tc>
        <w:tc>
          <w:tcPr>
            <w:tcW w:type="dxa" w:w="1080"/>
          </w:tcPr>
          <w:p>
            <w:pPr>
              <w:jc w:val="right"/>
            </w:pPr>
            <w:r/>
            <w:r>
              <w:rPr>
                <w:rFonts w:ascii="Arial" w:hAnsi="Arial" w:eastAsia="Arial"/>
                <w:b/>
                <w:i w:val="0"/>
                <w:color w:val="2A3140"/>
                <w:sz w:val="17"/>
              </w:rPr>
              <w:t>15.0</w:t>
            </w:r>
          </w:p>
        </w:tc>
        <w:tc>
          <w:tcPr>
            <w:tcW w:type="dxa" w:w="1080"/>
          </w:tcPr>
          <w:p>
            <w:pPr>
              <w:jc w:val="right"/>
            </w:pPr>
            <w:r/>
            <w:r>
              <w:rPr>
                <w:rFonts w:ascii="Arial" w:hAnsi="Arial" w:eastAsia="Arial"/>
                <w:b/>
                <w:i w:val="0"/>
                <w:color w:val="2A3140"/>
                <w:sz w:val="17"/>
              </w:rPr>
              <w:t>2,680.4</w:t>
            </w:r>
          </w:p>
        </w:tc>
        <w:tc>
          <w:tcPr>
            <w:tcW w:type="dxa" w:w="1080"/>
          </w:tcPr>
          <w:p>
            <w:r/>
          </w:p>
        </w:tc>
        <w:tc>
          <w:tcPr>
            <w:tcW w:type="dxa" w:w="1080"/>
          </w:tcPr>
          <w:p>
            <w:r/>
          </w:p>
        </w:tc>
        <w:tc>
          <w:tcPr>
            <w:tcW w:type="dxa" w:w="1080"/>
          </w:tcPr>
          <w:p>
            <w:r/>
          </w:p>
        </w:tc>
      </w:tr>
      <w:tr>
        <w:tc>
          <w:tcPr>
            <w:tcW w:type="dxa" w:w="2880"/>
          </w:tcPr>
          <w:p>
            <w:r/>
            <w:r>
              <w:rPr>
                <w:rFonts w:ascii="Arial" w:hAnsi="Arial" w:eastAsia="Arial"/>
                <w:b w:val="0"/>
                <w:i w:val="0"/>
                <w:color w:val="2A3140"/>
                <w:sz w:val="17"/>
              </w:rPr>
              <w:t>Unrestricted cash</w:t>
            </w:r>
          </w:p>
        </w:tc>
        <w:tc>
          <w:tcPr>
            <w:tcW w:type="dxa" w:w="1080"/>
          </w:tcPr>
          <w:p>
            <w:pPr>
              <w:jc w:val="right"/>
            </w:pPr>
            <w:r/>
            <w:r>
              <w:rPr>
                <w:rFonts w:ascii="Arial" w:hAnsi="Arial" w:eastAsia="Arial"/>
                <w:b w:val="0"/>
                <w:i w:val="0"/>
                <w:color w:val="2A3140"/>
                <w:sz w:val="17"/>
              </w:rPr>
              <w:t>139.6</w:t>
            </w:r>
          </w:p>
        </w:tc>
        <w:tc>
          <w:tcPr>
            <w:tcW w:type="dxa" w:w="1080"/>
          </w:tcPr>
          <w:p>
            <w:pPr>
              <w:jc w:val="right"/>
            </w:pPr>
            <w:r/>
            <w:r>
              <w:rPr>
                <w:rFonts w:ascii="Arial" w:hAnsi="Arial" w:eastAsia="Arial"/>
                <w:b w:val="0"/>
                <w:i w:val="0"/>
                <w:color w:val="2A3140"/>
                <w:sz w:val="17"/>
              </w:rPr>
              <w:t>4.6</w:t>
            </w:r>
          </w:p>
        </w:tc>
        <w:tc>
          <w:tcPr>
            <w:tcW w:type="dxa" w:w="1080"/>
          </w:tcPr>
          <w:p>
            <w:pPr>
              <w:jc w:val="right"/>
            </w:pPr>
            <w:r/>
            <w:r>
              <w:rPr>
                <w:rFonts w:ascii="Arial" w:hAnsi="Arial" w:eastAsia="Arial"/>
                <w:b w:val="0"/>
                <w:i w:val="0"/>
                <w:color w:val="2A3140"/>
                <w:sz w:val="17"/>
              </w:rPr>
              <w:t>144.2</w:t>
            </w:r>
          </w:p>
        </w:tc>
        <w:tc>
          <w:tcPr>
            <w:tcW w:type="dxa" w:w="1080"/>
          </w:tcPr>
          <w:p>
            <w:r/>
          </w:p>
        </w:tc>
        <w:tc>
          <w:tcPr>
            <w:tcW w:type="dxa" w:w="1080"/>
          </w:tcPr>
          <w:p>
            <w:r/>
          </w:p>
        </w:tc>
        <w:tc>
          <w:tcPr>
            <w:tcW w:type="dxa" w:w="1080"/>
          </w:tcPr>
          <w:p>
            <w:r/>
          </w:p>
        </w:tc>
      </w:tr>
      <w:tr>
        <w:tc>
          <w:tcPr>
            <w:tcW w:type="dxa" w:w="2880"/>
          </w:tcPr>
          <w:p>
            <w:r/>
            <w:r>
              <w:rPr>
                <w:rFonts w:ascii="Arial" w:hAnsi="Arial" w:eastAsia="Arial"/>
                <w:b w:val="0"/>
                <w:i w:val="0"/>
                <w:color w:val="2A3140"/>
                <w:sz w:val="17"/>
              </w:rPr>
              <w:t>Stockholders' equity</w:t>
            </w:r>
          </w:p>
        </w:tc>
        <w:tc>
          <w:tcPr>
            <w:tcW w:type="dxa" w:w="1080"/>
          </w:tcPr>
          <w:p>
            <w:pPr>
              <w:jc w:val="right"/>
            </w:pPr>
            <w:r/>
            <w:r>
              <w:rPr>
                <w:rFonts w:ascii="Arial" w:hAnsi="Arial" w:eastAsia="Arial"/>
                <w:b w:val="0"/>
                <w:i w:val="0"/>
                <w:color w:val="2A3140"/>
                <w:sz w:val="17"/>
              </w:rPr>
              <w:t>407.1</w:t>
            </w:r>
          </w:p>
        </w:tc>
        <w:tc>
          <w:tcPr>
            <w:tcW w:type="dxa" w:w="1080"/>
          </w:tcPr>
          <w:p>
            <w:pPr>
              <w:jc w:val="right"/>
            </w:pPr>
            <w:r/>
            <w:r>
              <w:rPr>
                <w:rFonts w:ascii="Arial" w:hAnsi="Arial" w:eastAsia="Arial"/>
                <w:b w:val="0"/>
                <w:i w:val="0"/>
                <w:color w:val="2A3140"/>
                <w:sz w:val="17"/>
              </w:rPr>
              <w:t>–</w:t>
            </w:r>
          </w:p>
        </w:tc>
        <w:tc>
          <w:tcPr>
            <w:tcW w:type="dxa" w:w="1080"/>
          </w:tcPr>
          <w:p>
            <w:pPr>
              <w:jc w:val="right"/>
            </w:pPr>
            <w:r/>
            <w:r>
              <w:rPr>
                <w:rFonts w:ascii="Arial" w:hAnsi="Arial" w:eastAsia="Arial"/>
                <w:b w:val="0"/>
                <w:i w:val="0"/>
                <w:color w:val="2A3140"/>
                <w:sz w:val="17"/>
              </w:rPr>
              <w:t>407.1</w:t>
            </w:r>
          </w:p>
        </w:tc>
        <w:tc>
          <w:tcPr>
            <w:tcW w:type="dxa" w:w="1080"/>
          </w:tcPr>
          <w:p>
            <w:r/>
          </w:p>
        </w:tc>
        <w:tc>
          <w:tcPr>
            <w:tcW w:type="dxa" w:w="1080"/>
          </w:tcPr>
          <w:p>
            <w:r/>
          </w:p>
        </w:tc>
        <w:tc>
          <w:tcPr>
            <w:tcW w:type="dxa" w:w="1080"/>
          </w:tcPr>
          <w:p>
            <w:r/>
          </w:p>
        </w:tc>
      </w:tr>
    </w:tbl>
    <w:p/>
    <w:p>
      <w:r>
        <w:rPr>
          <w:rFonts w:ascii="Arial" w:hAnsi="Arial" w:eastAsia="Arial"/>
          <w:b w:val="0"/>
          <w:i/>
          <w:color w:val="5B6475"/>
          <w:sz w:val="16"/>
        </w:rPr>
        <w:t>Source: Exhibit 3. The corporate loan's carrying value at 30 Jun 2026 was $119.9M against $135.0M of principal. Equity is not adjusted for the premium or the discount write-off.</w:t>
      </w:r>
    </w:p>
    <w:p>
      <w:r>
        <w:rPr>
          <w:rFonts w:ascii="Arial" w:hAnsi="Arial" w:eastAsia="Arial"/>
          <w:b w:val="0"/>
          <w:i w:val="0"/>
          <w:color w:val="2A3140"/>
          <w:sz w:val="21"/>
        </w:rPr>
        <w:t>On the borrower's Corporate Leverage Ratio (gross corporate principal ÷ LTM Adjusted EBITDA, used here as a proxy for covenant EBITDA), the pro forma ratio is 0.9x. Adjusted EBITDA could fall 62.9% before the proposed 2.50x maximum is breached. The ratio counts only corporate debt.</w:t>
      </w:r>
    </w:p>
    <w:p>
      <w:pPr>
        <w:spacing w:before="240"/>
      </w:pPr>
      <w:r>
        <w:rPr>
          <w:rFonts w:ascii="Georgia" w:hAnsi="Georgia" w:eastAsia="Georgia"/>
          <w:b/>
          <w:i w:val="0"/>
          <w:color w:val="1E3A5F"/>
          <w:sz w:val="26"/>
        </w:rPr>
        <w:t>6. Asset-class data</w:t>
      </w:r>
    </w:p>
    <w:p>
      <w:r>
        <w:rPr>
          <w:rFonts w:ascii="Arial" w:hAnsi="Arial" w:eastAsia="Arial"/>
          <w:b/>
          <w:i w:val="0"/>
          <w:color w:val="2A3140"/>
          <w:sz w:val="21"/>
        </w:rPr>
        <w:t>Funding structure.</w:t>
      </w:r>
      <w:r>
        <w:rPr>
          <w:rFonts w:ascii="Arial" w:hAnsi="Arial" w:eastAsia="Arial"/>
          <w:b w:val="0"/>
          <w:i w:val="0"/>
          <w:color w:val="2A3140"/>
          <w:sz w:val="21"/>
        </w:rPr>
        <w:t xml:space="preserve"> Exhibit 3 lists each warehouse (facility size, drawn amount and maturity) and each term securitization (initial and current balance, collateral and weighted average rate). At 30 Jun 2026, consolidated variable interest entities held $2,671.6M of assets and $2,394.4M of liabilities (Exhibit 2).</w:t>
      </w:r>
    </w:p>
    <w:p>
      <w:r>
        <w:rPr>
          <w:rFonts w:ascii="Arial" w:hAnsi="Arial" w:eastAsia="Arial"/>
          <w:b/>
          <w:i w:val="0"/>
          <w:color w:val="2A3140"/>
          <w:sz w:val="21"/>
        </w:rPr>
        <w:t>Static pool losses</w:t>
      </w:r>
      <w:r>
        <w:rPr>
          <w:rFonts w:ascii="Arial" w:hAnsi="Arial" w:eastAsia="Arial"/>
          <w:b w:val="0"/>
          <w:i w:val="0"/>
          <w:color w:val="2A3140"/>
          <w:sz w:val="21"/>
        </w:rPr>
        <w:t xml:space="preserve"> (net lifetime losses as % of original principal, owned personal loans, at 30 Jun 2026)</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926"/>
        <w:gridCol w:w="926"/>
        <w:gridCol w:w="926"/>
        <w:gridCol w:w="926"/>
        <w:gridCol w:w="926"/>
        <w:gridCol w:w="926"/>
        <w:gridCol w:w="926"/>
      </w:tblGrid>
      <w:tr>
        <w:tc>
          <w:tcPr>
            <w:tcW w:type="dxa" w:w="2880"/>
            <w:shd w:val="clear" w:color="auto" w:fill="E4EAF3"/>
          </w:tcPr>
          <w:p>
            <w:r/>
            <w:r>
              <w:rPr>
                <w:rFonts w:ascii="Arial" w:hAnsi="Arial" w:eastAsia="Arial"/>
                <w:b/>
                <w:i w:val="0"/>
                <w:color w:val="121826"/>
                <w:sz w:val="17"/>
              </w:rPr>
              <w:t>Vintage</w:t>
            </w:r>
          </w:p>
        </w:tc>
        <w:tc>
          <w:tcPr>
            <w:tcW w:type="dxa" w:w="926"/>
            <w:shd w:val="clear" w:color="auto" w:fill="E4EAF3"/>
          </w:tcPr>
          <w:p>
            <w:pPr>
              <w:jc w:val="right"/>
            </w:pPr>
            <w:r/>
            <w:r>
              <w:rPr>
                <w:rFonts w:ascii="Arial" w:hAnsi="Arial" w:eastAsia="Arial"/>
                <w:b/>
                <w:i w:val="0"/>
                <w:color w:val="121826"/>
                <w:sz w:val="17"/>
              </w:rPr>
              <w:t>2019</w:t>
            </w:r>
          </w:p>
        </w:tc>
        <w:tc>
          <w:tcPr>
            <w:tcW w:type="dxa" w:w="926"/>
            <w:shd w:val="clear" w:color="auto" w:fill="E4EAF3"/>
          </w:tcPr>
          <w:p>
            <w:pPr>
              <w:jc w:val="right"/>
            </w:pPr>
            <w:r/>
            <w:r>
              <w:rPr>
                <w:rFonts w:ascii="Arial" w:hAnsi="Arial" w:eastAsia="Arial"/>
                <w:b/>
                <w:i w:val="0"/>
                <w:color w:val="121826"/>
                <w:sz w:val="17"/>
              </w:rPr>
              <w:t>2020</w:t>
            </w:r>
          </w:p>
        </w:tc>
        <w:tc>
          <w:tcPr>
            <w:tcW w:type="dxa" w:w="926"/>
            <w:shd w:val="clear" w:color="auto" w:fill="E4EAF3"/>
          </w:tcPr>
          <w:p>
            <w:pPr>
              <w:jc w:val="right"/>
            </w:pPr>
            <w:r/>
            <w:r>
              <w:rPr>
                <w:rFonts w:ascii="Arial" w:hAnsi="Arial" w:eastAsia="Arial"/>
                <w:b/>
                <w:i w:val="0"/>
                <w:color w:val="121826"/>
                <w:sz w:val="17"/>
              </w:rPr>
              <w:t>2021</w:t>
            </w:r>
          </w:p>
        </w:tc>
        <w:tc>
          <w:tcPr>
            <w:tcW w:type="dxa" w:w="926"/>
            <w:shd w:val="clear" w:color="auto" w:fill="E4EAF3"/>
          </w:tcPr>
          <w:p>
            <w:pPr>
              <w:jc w:val="right"/>
            </w:pPr>
            <w:r/>
            <w:r>
              <w:rPr>
                <w:rFonts w:ascii="Arial" w:hAnsi="Arial" w:eastAsia="Arial"/>
                <w:b/>
                <w:i w:val="0"/>
                <w:color w:val="121826"/>
                <w:sz w:val="17"/>
              </w:rPr>
              <w:t>2022</w:t>
            </w:r>
          </w:p>
        </w:tc>
        <w:tc>
          <w:tcPr>
            <w:tcW w:type="dxa" w:w="926"/>
            <w:shd w:val="clear" w:color="auto" w:fill="E4EAF3"/>
          </w:tcPr>
          <w:p>
            <w:pPr>
              <w:jc w:val="right"/>
            </w:pPr>
            <w:r/>
            <w:r>
              <w:rPr>
                <w:rFonts w:ascii="Arial" w:hAnsi="Arial" w:eastAsia="Arial"/>
                <w:b/>
                <w:i w:val="0"/>
                <w:color w:val="121826"/>
                <w:sz w:val="17"/>
              </w:rPr>
              <w:t>2023</w:t>
            </w:r>
          </w:p>
        </w:tc>
        <w:tc>
          <w:tcPr>
            <w:tcW w:type="dxa" w:w="926"/>
            <w:shd w:val="clear" w:color="auto" w:fill="E4EAF3"/>
          </w:tcPr>
          <w:p>
            <w:pPr>
              <w:jc w:val="right"/>
            </w:pPr>
            <w:r/>
            <w:r>
              <w:rPr>
                <w:rFonts w:ascii="Arial" w:hAnsi="Arial" w:eastAsia="Arial"/>
                <w:b/>
                <w:i w:val="0"/>
                <w:color w:val="121826"/>
                <w:sz w:val="17"/>
              </w:rPr>
              <w:t>2024</w:t>
            </w:r>
          </w:p>
        </w:tc>
        <w:tc>
          <w:tcPr>
            <w:tcW w:type="dxa" w:w="926"/>
            <w:shd w:val="clear" w:color="auto" w:fill="E4EAF3"/>
          </w:tcPr>
          <w:p>
            <w:pPr>
              <w:jc w:val="right"/>
            </w:pPr>
            <w:r/>
            <w:r>
              <w:rPr>
                <w:rFonts w:ascii="Arial" w:hAnsi="Arial" w:eastAsia="Arial"/>
                <w:b/>
                <w:i w:val="0"/>
                <w:color w:val="121826"/>
                <w:sz w:val="17"/>
              </w:rPr>
              <w:t>2025</w:t>
            </w:r>
          </w:p>
        </w:tc>
      </w:tr>
      <w:tr>
        <w:tc>
          <w:tcPr>
            <w:tcW w:type="dxa" w:w="2880"/>
          </w:tcPr>
          <w:p>
            <w:r/>
            <w:r>
              <w:rPr>
                <w:rFonts w:ascii="Arial" w:hAnsi="Arial" w:eastAsia="Arial"/>
                <w:b w:val="0"/>
                <w:i w:val="0"/>
                <w:color w:val="2A3140"/>
                <w:sz w:val="17"/>
              </w:rPr>
              <w:t>Net lifetime losses</w:t>
            </w:r>
          </w:p>
        </w:tc>
        <w:tc>
          <w:tcPr>
            <w:tcW w:type="dxa" w:w="926"/>
          </w:tcPr>
          <w:p>
            <w:pPr>
              <w:jc w:val="right"/>
            </w:pPr>
            <w:r/>
            <w:r>
              <w:rPr>
                <w:rFonts w:ascii="Arial" w:hAnsi="Arial" w:eastAsia="Arial"/>
                <w:b w:val="0"/>
                <w:i w:val="0"/>
                <w:color w:val="2A3140"/>
                <w:sz w:val="17"/>
              </w:rPr>
              <w:t>10.8%</w:t>
            </w:r>
          </w:p>
        </w:tc>
        <w:tc>
          <w:tcPr>
            <w:tcW w:type="dxa" w:w="926"/>
          </w:tcPr>
          <w:p>
            <w:pPr>
              <w:jc w:val="right"/>
            </w:pPr>
            <w:r/>
            <w:r>
              <w:rPr>
                <w:rFonts w:ascii="Arial" w:hAnsi="Arial" w:eastAsia="Arial"/>
                <w:b w:val="0"/>
                <w:i w:val="0"/>
                <w:color w:val="2A3140"/>
                <w:sz w:val="17"/>
              </w:rPr>
              <w:t>9.0%</w:t>
            </w:r>
          </w:p>
        </w:tc>
        <w:tc>
          <w:tcPr>
            <w:tcW w:type="dxa" w:w="926"/>
          </w:tcPr>
          <w:p>
            <w:pPr>
              <w:jc w:val="right"/>
            </w:pPr>
            <w:r/>
            <w:r>
              <w:rPr>
                <w:rFonts w:ascii="Arial" w:hAnsi="Arial" w:eastAsia="Arial"/>
                <w:b w:val="0"/>
                <w:i w:val="0"/>
                <w:color w:val="2A3140"/>
                <w:sz w:val="17"/>
              </w:rPr>
              <w:t>18.4%</w:t>
            </w:r>
          </w:p>
        </w:tc>
        <w:tc>
          <w:tcPr>
            <w:tcW w:type="dxa" w:w="926"/>
          </w:tcPr>
          <w:p>
            <w:pPr>
              <w:jc w:val="right"/>
            </w:pPr>
            <w:r/>
            <w:r>
              <w:rPr>
                <w:rFonts w:ascii="Arial" w:hAnsi="Arial" w:eastAsia="Arial"/>
                <w:b w:val="0"/>
                <w:i w:val="0"/>
                <w:color w:val="2A3140"/>
                <w:sz w:val="17"/>
              </w:rPr>
              <w:t>22.4%</w:t>
            </w:r>
          </w:p>
        </w:tc>
        <w:tc>
          <w:tcPr>
            <w:tcW w:type="dxa" w:w="926"/>
          </w:tcPr>
          <w:p>
            <w:pPr>
              <w:jc w:val="right"/>
            </w:pPr>
            <w:r/>
            <w:r>
              <w:rPr>
                <w:rFonts w:ascii="Arial" w:hAnsi="Arial" w:eastAsia="Arial"/>
                <w:b w:val="0"/>
                <w:i w:val="0"/>
                <w:color w:val="2A3140"/>
                <w:sz w:val="17"/>
              </w:rPr>
              <w:t>15.7%</w:t>
            </w:r>
          </w:p>
        </w:tc>
        <w:tc>
          <w:tcPr>
            <w:tcW w:type="dxa" w:w="926"/>
          </w:tcPr>
          <w:p>
            <w:pPr>
              <w:jc w:val="right"/>
            </w:pPr>
            <w:r/>
            <w:r>
              <w:rPr>
                <w:rFonts w:ascii="Arial" w:hAnsi="Arial" w:eastAsia="Arial"/>
                <w:b w:val="0"/>
                <w:i w:val="0"/>
                <w:color w:val="2A3140"/>
                <w:sz w:val="17"/>
              </w:rPr>
              <w:t>9.8%</w:t>
            </w:r>
          </w:p>
        </w:tc>
        <w:tc>
          <w:tcPr>
            <w:tcW w:type="dxa" w:w="926"/>
          </w:tcPr>
          <w:p>
            <w:pPr>
              <w:jc w:val="right"/>
            </w:pPr>
            <w:r/>
            <w:r>
              <w:rPr>
                <w:rFonts w:ascii="Arial" w:hAnsi="Arial" w:eastAsia="Arial"/>
                <w:b w:val="0"/>
                <w:i w:val="0"/>
                <w:color w:val="2A3140"/>
                <w:sz w:val="17"/>
              </w:rPr>
              <w:t>2.1%</w:t>
            </w:r>
          </w:p>
        </w:tc>
      </w:tr>
      <w:tr>
        <w:tc>
          <w:tcPr>
            <w:tcW w:type="dxa" w:w="2880"/>
          </w:tcPr>
          <w:p>
            <w:r/>
            <w:r>
              <w:rPr>
                <w:rFonts w:ascii="Arial" w:hAnsi="Arial" w:eastAsia="Arial"/>
                <w:b w:val="0"/>
                <w:i w:val="0"/>
                <w:color w:val="2A3140"/>
                <w:sz w:val="17"/>
              </w:rPr>
              <w:t>Outstanding, % of original</w:t>
            </w:r>
          </w:p>
        </w:tc>
        <w:tc>
          <w:tcPr>
            <w:tcW w:type="dxa" w:w="926"/>
          </w:tcPr>
          <w:p>
            <w:pPr>
              <w:jc w:val="right"/>
            </w:pPr>
            <w:r/>
            <w:r>
              <w:rPr>
                <w:rFonts w:ascii="Arial" w:hAnsi="Arial" w:eastAsia="Arial"/>
                <w:b w:val="0"/>
                <w:i w:val="0"/>
                <w:color w:val="2A3140"/>
                <w:sz w:val="17"/>
              </w:rPr>
              <w:t>0.0%</w:t>
            </w:r>
          </w:p>
        </w:tc>
        <w:tc>
          <w:tcPr>
            <w:tcW w:type="dxa" w:w="926"/>
          </w:tcPr>
          <w:p>
            <w:pPr>
              <w:jc w:val="right"/>
            </w:pPr>
            <w:r/>
            <w:r>
              <w:rPr>
                <w:rFonts w:ascii="Arial" w:hAnsi="Arial" w:eastAsia="Arial"/>
                <w:b w:val="0"/>
                <w:i w:val="0"/>
                <w:color w:val="2A3140"/>
                <w:sz w:val="17"/>
              </w:rPr>
              <w:t>0.1%</w:t>
            </w:r>
          </w:p>
        </w:tc>
        <w:tc>
          <w:tcPr>
            <w:tcW w:type="dxa" w:w="926"/>
          </w:tcPr>
          <w:p>
            <w:pPr>
              <w:jc w:val="right"/>
            </w:pPr>
            <w:r/>
            <w:r>
              <w:rPr>
                <w:rFonts w:ascii="Arial" w:hAnsi="Arial" w:eastAsia="Arial"/>
                <w:b w:val="0"/>
                <w:i w:val="0"/>
                <w:color w:val="2A3140"/>
                <w:sz w:val="17"/>
              </w:rPr>
              <w:t>0.6%</w:t>
            </w:r>
          </w:p>
        </w:tc>
        <w:tc>
          <w:tcPr>
            <w:tcW w:type="dxa" w:w="926"/>
          </w:tcPr>
          <w:p>
            <w:pPr>
              <w:jc w:val="right"/>
            </w:pPr>
            <w:r/>
            <w:r>
              <w:rPr>
                <w:rFonts w:ascii="Arial" w:hAnsi="Arial" w:eastAsia="Arial"/>
                <w:b w:val="0"/>
                <w:i w:val="0"/>
                <w:color w:val="2A3140"/>
                <w:sz w:val="17"/>
              </w:rPr>
              <w:t>3.1%</w:t>
            </w:r>
          </w:p>
        </w:tc>
        <w:tc>
          <w:tcPr>
            <w:tcW w:type="dxa" w:w="926"/>
          </w:tcPr>
          <w:p>
            <w:pPr>
              <w:jc w:val="right"/>
            </w:pPr>
            <w:r/>
            <w:r>
              <w:rPr>
                <w:rFonts w:ascii="Arial" w:hAnsi="Arial" w:eastAsia="Arial"/>
                <w:b w:val="0"/>
                <w:i w:val="0"/>
                <w:color w:val="2A3140"/>
                <w:sz w:val="17"/>
              </w:rPr>
              <w:t>15.6%</w:t>
            </w:r>
          </w:p>
        </w:tc>
        <w:tc>
          <w:tcPr>
            <w:tcW w:type="dxa" w:w="926"/>
          </w:tcPr>
          <w:p>
            <w:pPr>
              <w:jc w:val="right"/>
            </w:pPr>
            <w:r/>
            <w:r>
              <w:rPr>
                <w:rFonts w:ascii="Arial" w:hAnsi="Arial" w:eastAsia="Arial"/>
                <w:b w:val="0"/>
                <w:i w:val="0"/>
                <w:color w:val="2A3140"/>
                <w:sz w:val="17"/>
              </w:rPr>
              <w:t>36.1%</w:t>
            </w:r>
          </w:p>
        </w:tc>
        <w:tc>
          <w:tcPr>
            <w:tcW w:type="dxa" w:w="926"/>
          </w:tcPr>
          <w:p>
            <w:pPr>
              <w:jc w:val="right"/>
            </w:pPr>
            <w:r/>
            <w:r>
              <w:rPr>
                <w:rFonts w:ascii="Arial" w:hAnsi="Arial" w:eastAsia="Arial"/>
                <w:b w:val="0"/>
                <w:i w:val="0"/>
                <w:color w:val="2A3140"/>
                <w:sz w:val="17"/>
              </w:rPr>
              <w:t>78.0%</w:t>
            </w:r>
          </w:p>
        </w:tc>
      </w:tr>
      <w:tr>
        <w:tc>
          <w:tcPr>
            <w:tcW w:type="dxa" w:w="2880"/>
          </w:tcPr>
          <w:p>
            <w:r/>
            <w:r>
              <w:rPr>
                <w:rFonts w:ascii="Arial" w:hAnsi="Arial" w:eastAsia="Arial"/>
                <w:b w:val="0"/>
                <w:i w:val="0"/>
                <w:color w:val="2A3140"/>
                <w:sz w:val="17"/>
              </w:rPr>
              <w:t>Average original term (months)</w:t>
            </w:r>
          </w:p>
        </w:tc>
        <w:tc>
          <w:tcPr>
            <w:tcW w:type="dxa" w:w="926"/>
          </w:tcPr>
          <w:p>
            <w:pPr>
              <w:jc w:val="right"/>
            </w:pPr>
            <w:r/>
            <w:r>
              <w:rPr>
                <w:rFonts w:ascii="Arial" w:hAnsi="Arial" w:eastAsia="Arial"/>
                <w:b w:val="0"/>
                <w:i w:val="0"/>
                <w:color w:val="2A3140"/>
                <w:sz w:val="17"/>
              </w:rPr>
              <w:t>30.0</w:t>
            </w:r>
          </w:p>
        </w:tc>
        <w:tc>
          <w:tcPr>
            <w:tcW w:type="dxa" w:w="926"/>
          </w:tcPr>
          <w:p>
            <w:pPr>
              <w:jc w:val="right"/>
            </w:pPr>
            <w:r/>
            <w:r>
              <w:rPr>
                <w:rFonts w:ascii="Arial" w:hAnsi="Arial" w:eastAsia="Arial"/>
                <w:b w:val="0"/>
                <w:i w:val="0"/>
                <w:color w:val="2A3140"/>
                <w:sz w:val="17"/>
              </w:rPr>
              <w:t>32.0</w:t>
            </w:r>
          </w:p>
        </w:tc>
        <w:tc>
          <w:tcPr>
            <w:tcW w:type="dxa" w:w="926"/>
          </w:tcPr>
          <w:p>
            <w:pPr>
              <w:jc w:val="right"/>
            </w:pPr>
            <w:r/>
            <w:r>
              <w:rPr>
                <w:rFonts w:ascii="Arial" w:hAnsi="Arial" w:eastAsia="Arial"/>
                <w:b w:val="0"/>
                <w:i w:val="0"/>
                <w:color w:val="2A3140"/>
                <w:sz w:val="17"/>
              </w:rPr>
              <w:t>33.3</w:t>
            </w:r>
          </w:p>
        </w:tc>
        <w:tc>
          <w:tcPr>
            <w:tcW w:type="dxa" w:w="926"/>
          </w:tcPr>
          <w:p>
            <w:pPr>
              <w:jc w:val="right"/>
            </w:pPr>
            <w:r/>
            <w:r>
              <w:rPr>
                <w:rFonts w:ascii="Arial" w:hAnsi="Arial" w:eastAsia="Arial"/>
                <w:b w:val="0"/>
                <w:i w:val="0"/>
                <w:color w:val="2A3140"/>
                <w:sz w:val="17"/>
              </w:rPr>
              <w:t>37.8</w:t>
            </w:r>
          </w:p>
        </w:tc>
        <w:tc>
          <w:tcPr>
            <w:tcW w:type="dxa" w:w="926"/>
          </w:tcPr>
          <w:p>
            <w:pPr>
              <w:jc w:val="right"/>
            </w:pPr>
            <w:r/>
            <w:r>
              <w:rPr>
                <w:rFonts w:ascii="Arial" w:hAnsi="Arial" w:eastAsia="Arial"/>
                <w:b w:val="0"/>
                <w:i w:val="0"/>
                <w:color w:val="2A3140"/>
                <w:sz w:val="17"/>
              </w:rPr>
              <w:t>39.2</w:t>
            </w:r>
          </w:p>
        </w:tc>
        <w:tc>
          <w:tcPr>
            <w:tcW w:type="dxa" w:w="926"/>
          </w:tcPr>
          <w:p>
            <w:pPr>
              <w:jc w:val="right"/>
            </w:pPr>
            <w:r/>
            <w:r>
              <w:rPr>
                <w:rFonts w:ascii="Arial" w:hAnsi="Arial" w:eastAsia="Arial"/>
                <w:b w:val="0"/>
                <w:i w:val="0"/>
                <w:color w:val="2A3140"/>
                <w:sz w:val="17"/>
              </w:rPr>
              <w:t>35.6</w:t>
            </w:r>
          </w:p>
        </w:tc>
        <w:tc>
          <w:tcPr>
            <w:tcW w:type="dxa" w:w="926"/>
          </w:tcPr>
          <w:p>
            <w:pPr>
              <w:jc w:val="right"/>
            </w:pPr>
            <w:r/>
            <w:r>
              <w:rPr>
                <w:rFonts w:ascii="Arial" w:hAnsi="Arial" w:eastAsia="Arial"/>
                <w:b w:val="0"/>
                <w:i w:val="0"/>
                <w:color w:val="2A3140"/>
                <w:sz w:val="17"/>
              </w:rPr>
              <w:t>33.7</w:t>
            </w:r>
          </w:p>
        </w:tc>
      </w:tr>
    </w:tbl>
    <w:p/>
    <w:p>
      <w:r>
        <w:rPr>
          <w:rFonts w:ascii="Arial" w:hAnsi="Arial" w:eastAsia="Arial"/>
          <w:b w:val="0"/>
          <w:i/>
          <w:color w:val="5B6475"/>
          <w:sz w:val="16"/>
        </w:rPr>
        <w:t>Source: Exhibit 5 (Form 10-Q 2Q26). Vintages from 2022 on are not fully mature and their losses will rise. Exhibit 5 also shows 2016–2018 vintages and the Dec-25 values.</w:t>
      </w:r>
    </w:p>
    <w:p>
      <w:r>
        <w:rPr>
          <w:rFonts w:ascii="Arial" w:hAnsi="Arial" w:eastAsia="Arial"/>
          <w:b/>
          <w:i w:val="0"/>
          <w:color w:val="2A3140"/>
          <w:sz w:val="21"/>
        </w:rPr>
        <w:t>Oportun Issuance Trust 2026-A</w:t>
      </w:r>
      <w:r>
        <w:rPr>
          <w:rFonts w:ascii="Arial" w:hAnsi="Arial" w:eastAsia="Arial"/>
          <w:b w:val="0"/>
          <w:i w:val="0"/>
          <w:color w:val="2A3140"/>
          <w:sz w:val="21"/>
        </w:rPr>
        <w:t xml:space="preserve"> ($M; closed 9 Feb 2026; revolving period to 1 Feb 2028; legal final 9 Jan 2034)</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880"/>
        <w:gridCol w:w="1620"/>
        <w:gridCol w:w="1620"/>
        <w:gridCol w:w="1620"/>
        <w:gridCol w:w="1620"/>
      </w:tblGrid>
      <w:tr>
        <w:tc>
          <w:tcPr>
            <w:tcW w:type="dxa" w:w="2880"/>
            <w:shd w:val="clear" w:color="auto" w:fill="E4EAF3"/>
          </w:tcPr>
          <w:p>
            <w:r/>
            <w:r>
              <w:rPr>
                <w:rFonts w:ascii="Arial" w:hAnsi="Arial" w:eastAsia="Arial"/>
                <w:b/>
                <w:i w:val="0"/>
                <w:color w:val="121826"/>
                <w:sz w:val="17"/>
              </w:rPr>
              <w:t>Class</w:t>
            </w:r>
          </w:p>
        </w:tc>
        <w:tc>
          <w:tcPr>
            <w:tcW w:type="dxa" w:w="1620"/>
            <w:shd w:val="clear" w:color="auto" w:fill="E4EAF3"/>
          </w:tcPr>
          <w:p>
            <w:r/>
            <w:r>
              <w:rPr>
                <w:rFonts w:ascii="Arial" w:hAnsi="Arial" w:eastAsia="Arial"/>
                <w:b/>
                <w:i w:val="0"/>
                <w:color w:val="121826"/>
                <w:sz w:val="17"/>
              </w:rPr>
              <w:t>Size</w:t>
            </w:r>
          </w:p>
        </w:tc>
        <w:tc>
          <w:tcPr>
            <w:tcW w:type="dxa" w:w="1620"/>
            <w:shd w:val="clear" w:color="auto" w:fill="E4EAF3"/>
          </w:tcPr>
          <w:p>
            <w:r/>
            <w:r>
              <w:rPr>
                <w:rFonts w:ascii="Arial" w:hAnsi="Arial" w:eastAsia="Arial"/>
                <w:b/>
                <w:i w:val="0"/>
                <w:color w:val="121826"/>
                <w:sz w:val="17"/>
              </w:rPr>
              <w:t>% of pool</w:t>
            </w:r>
          </w:p>
        </w:tc>
        <w:tc>
          <w:tcPr>
            <w:tcW w:type="dxa" w:w="1620"/>
            <w:shd w:val="clear" w:color="auto" w:fill="E4EAF3"/>
          </w:tcPr>
          <w:p>
            <w:r/>
            <w:r>
              <w:rPr>
                <w:rFonts w:ascii="Arial" w:hAnsi="Arial" w:eastAsia="Arial"/>
                <w:b/>
                <w:i w:val="0"/>
                <w:color w:val="121826"/>
                <w:sz w:val="17"/>
              </w:rPr>
              <w:t>Coupon</w:t>
            </w:r>
          </w:p>
        </w:tc>
        <w:tc>
          <w:tcPr>
            <w:tcW w:type="dxa" w:w="1620"/>
            <w:shd w:val="clear" w:color="auto" w:fill="E4EAF3"/>
          </w:tcPr>
          <w:p>
            <w:r/>
            <w:r>
              <w:rPr>
                <w:rFonts w:ascii="Arial" w:hAnsi="Arial" w:eastAsia="Arial"/>
                <w:b/>
                <w:i w:val="0"/>
                <w:color w:val="121826"/>
                <w:sz w:val="17"/>
              </w:rPr>
              <w:t>Fitch rating</w:t>
            </w:r>
          </w:p>
        </w:tc>
      </w:tr>
      <w:tr>
        <w:tc>
          <w:tcPr>
            <w:tcW w:type="dxa" w:w="2880"/>
          </w:tcPr>
          <w:p>
            <w:r/>
            <w:r>
              <w:rPr>
                <w:rFonts w:ascii="Arial" w:hAnsi="Arial" w:eastAsia="Arial"/>
                <w:b w:val="0"/>
                <w:i w:val="0"/>
                <w:color w:val="2A3140"/>
                <w:sz w:val="17"/>
              </w:rPr>
              <w:t>Class A</w:t>
            </w:r>
          </w:p>
        </w:tc>
        <w:tc>
          <w:tcPr>
            <w:tcW w:type="dxa" w:w="1620"/>
          </w:tcPr>
          <w:p>
            <w:pPr>
              <w:jc w:val="right"/>
            </w:pPr>
            <w:r/>
            <w:r>
              <w:rPr>
                <w:rFonts w:ascii="Arial" w:hAnsi="Arial" w:eastAsia="Arial"/>
                <w:b w:val="0"/>
                <w:i w:val="0"/>
                <w:color w:val="2A3140"/>
                <w:sz w:val="17"/>
              </w:rPr>
              <w:t>190.0</w:t>
            </w:r>
          </w:p>
        </w:tc>
        <w:tc>
          <w:tcPr>
            <w:tcW w:type="dxa" w:w="1620"/>
          </w:tcPr>
          <w:p>
            <w:pPr>
              <w:jc w:val="right"/>
            </w:pPr>
            <w:r/>
            <w:r>
              <w:rPr>
                <w:rFonts w:ascii="Arial" w:hAnsi="Arial" w:eastAsia="Arial"/>
                <w:b w:val="0"/>
                <w:i w:val="0"/>
                <w:color w:val="2A3140"/>
                <w:sz w:val="17"/>
              </w:rPr>
              <w:t>38.0%</w:t>
            </w:r>
          </w:p>
        </w:tc>
        <w:tc>
          <w:tcPr>
            <w:tcW w:type="dxa" w:w="1620"/>
          </w:tcPr>
          <w:p>
            <w:pPr>
              <w:jc w:val="right"/>
            </w:pPr>
            <w:r/>
            <w:r>
              <w:rPr>
                <w:rFonts w:ascii="Arial" w:hAnsi="Arial" w:eastAsia="Arial"/>
                <w:b w:val="0"/>
                <w:i w:val="0"/>
                <w:color w:val="2A3140"/>
                <w:sz w:val="17"/>
              </w:rPr>
              <w:t>4.32%</w:t>
            </w:r>
          </w:p>
        </w:tc>
        <w:tc>
          <w:tcPr>
            <w:tcW w:type="dxa" w:w="1620"/>
          </w:tcPr>
          <w:p>
            <w:r/>
            <w:r>
              <w:rPr>
                <w:rFonts w:ascii="Arial" w:hAnsi="Arial" w:eastAsia="Arial"/>
                <w:b w:val="0"/>
                <w:i w:val="0"/>
                <w:color w:val="2A3140"/>
                <w:sz w:val="17"/>
              </w:rPr>
              <w:t>AAAsf</w:t>
            </w:r>
          </w:p>
        </w:tc>
      </w:tr>
      <w:tr>
        <w:tc>
          <w:tcPr>
            <w:tcW w:type="dxa" w:w="2880"/>
          </w:tcPr>
          <w:p>
            <w:r/>
            <w:r>
              <w:rPr>
                <w:rFonts w:ascii="Arial" w:hAnsi="Arial" w:eastAsia="Arial"/>
                <w:b w:val="0"/>
                <w:i w:val="0"/>
                <w:color w:val="2A3140"/>
                <w:sz w:val="17"/>
              </w:rPr>
              <w:t>Class B</w:t>
            </w:r>
          </w:p>
        </w:tc>
        <w:tc>
          <w:tcPr>
            <w:tcW w:type="dxa" w:w="1620"/>
          </w:tcPr>
          <w:p>
            <w:pPr>
              <w:jc w:val="right"/>
            </w:pPr>
            <w:r/>
            <w:r>
              <w:rPr>
                <w:rFonts w:ascii="Arial" w:hAnsi="Arial" w:eastAsia="Arial"/>
                <w:b w:val="0"/>
                <w:i w:val="0"/>
                <w:color w:val="2A3140"/>
                <w:sz w:val="17"/>
              </w:rPr>
              <w:t>115.0</w:t>
            </w:r>
          </w:p>
        </w:tc>
        <w:tc>
          <w:tcPr>
            <w:tcW w:type="dxa" w:w="1620"/>
          </w:tcPr>
          <w:p>
            <w:pPr>
              <w:jc w:val="right"/>
            </w:pPr>
            <w:r/>
            <w:r>
              <w:rPr>
                <w:rFonts w:ascii="Arial" w:hAnsi="Arial" w:eastAsia="Arial"/>
                <w:b w:val="0"/>
                <w:i w:val="0"/>
                <w:color w:val="2A3140"/>
                <w:sz w:val="17"/>
              </w:rPr>
              <w:t>23.0%</w:t>
            </w:r>
          </w:p>
        </w:tc>
        <w:tc>
          <w:tcPr>
            <w:tcW w:type="dxa" w:w="1620"/>
          </w:tcPr>
          <w:p>
            <w:pPr>
              <w:jc w:val="right"/>
            </w:pPr>
            <w:r/>
            <w:r>
              <w:rPr>
                <w:rFonts w:ascii="Arial" w:hAnsi="Arial" w:eastAsia="Arial"/>
                <w:b w:val="0"/>
                <w:i w:val="0"/>
                <w:color w:val="2A3140"/>
                <w:sz w:val="17"/>
              </w:rPr>
              <w:t>5.06%</w:t>
            </w:r>
          </w:p>
        </w:tc>
        <w:tc>
          <w:tcPr>
            <w:tcW w:type="dxa" w:w="1620"/>
          </w:tcPr>
          <w:p>
            <w:r/>
            <w:r>
              <w:rPr>
                <w:rFonts w:ascii="Arial" w:hAnsi="Arial" w:eastAsia="Arial"/>
                <w:b w:val="0"/>
                <w:i w:val="0"/>
                <w:color w:val="2A3140"/>
                <w:sz w:val="17"/>
              </w:rPr>
              <w:t>AA-sf</w:t>
            </w:r>
          </w:p>
        </w:tc>
      </w:tr>
      <w:tr>
        <w:tc>
          <w:tcPr>
            <w:tcW w:type="dxa" w:w="2880"/>
          </w:tcPr>
          <w:p>
            <w:r/>
            <w:r>
              <w:rPr>
                <w:rFonts w:ascii="Arial" w:hAnsi="Arial" w:eastAsia="Arial"/>
                <w:b w:val="0"/>
                <w:i w:val="0"/>
                <w:color w:val="2A3140"/>
                <w:sz w:val="17"/>
              </w:rPr>
              <w:t>Class C</w:t>
            </w:r>
          </w:p>
        </w:tc>
        <w:tc>
          <w:tcPr>
            <w:tcW w:type="dxa" w:w="1620"/>
          </w:tcPr>
          <w:p>
            <w:pPr>
              <w:jc w:val="right"/>
            </w:pPr>
            <w:r/>
            <w:r>
              <w:rPr>
                <w:rFonts w:ascii="Arial" w:hAnsi="Arial" w:eastAsia="Arial"/>
                <w:b w:val="0"/>
                <w:i w:val="0"/>
                <w:color w:val="2A3140"/>
                <w:sz w:val="17"/>
              </w:rPr>
              <w:t>79.0</w:t>
            </w:r>
          </w:p>
        </w:tc>
        <w:tc>
          <w:tcPr>
            <w:tcW w:type="dxa" w:w="1620"/>
          </w:tcPr>
          <w:p>
            <w:pPr>
              <w:jc w:val="right"/>
            </w:pPr>
            <w:r/>
            <w:r>
              <w:rPr>
                <w:rFonts w:ascii="Arial" w:hAnsi="Arial" w:eastAsia="Arial"/>
                <w:b w:val="0"/>
                <w:i w:val="0"/>
                <w:color w:val="2A3140"/>
                <w:sz w:val="17"/>
              </w:rPr>
              <w:t>15.8%</w:t>
            </w:r>
          </w:p>
        </w:tc>
        <w:tc>
          <w:tcPr>
            <w:tcW w:type="dxa" w:w="1620"/>
          </w:tcPr>
          <w:p>
            <w:pPr>
              <w:jc w:val="right"/>
            </w:pPr>
            <w:r/>
            <w:r>
              <w:rPr>
                <w:rFonts w:ascii="Arial" w:hAnsi="Arial" w:eastAsia="Arial"/>
                <w:b w:val="0"/>
                <w:i w:val="0"/>
                <w:color w:val="2A3140"/>
                <w:sz w:val="17"/>
              </w:rPr>
              <w:t>5.45%</w:t>
            </w:r>
          </w:p>
        </w:tc>
        <w:tc>
          <w:tcPr>
            <w:tcW w:type="dxa" w:w="1620"/>
          </w:tcPr>
          <w:p>
            <w:r/>
            <w:r>
              <w:rPr>
                <w:rFonts w:ascii="Arial" w:hAnsi="Arial" w:eastAsia="Arial"/>
                <w:b w:val="0"/>
                <w:i w:val="0"/>
                <w:color w:val="2A3140"/>
                <w:sz w:val="17"/>
              </w:rPr>
              <w:t>A-sf</w:t>
            </w:r>
          </w:p>
        </w:tc>
      </w:tr>
      <w:tr>
        <w:tc>
          <w:tcPr>
            <w:tcW w:type="dxa" w:w="2880"/>
          </w:tcPr>
          <w:p>
            <w:r/>
            <w:r>
              <w:rPr>
                <w:rFonts w:ascii="Arial" w:hAnsi="Arial" w:eastAsia="Arial"/>
                <w:b w:val="0"/>
                <w:i w:val="0"/>
                <w:color w:val="2A3140"/>
                <w:sz w:val="17"/>
              </w:rPr>
              <w:t>Class D</w:t>
            </w:r>
          </w:p>
        </w:tc>
        <w:tc>
          <w:tcPr>
            <w:tcW w:type="dxa" w:w="1620"/>
          </w:tcPr>
          <w:p>
            <w:pPr>
              <w:jc w:val="right"/>
            </w:pPr>
            <w:r/>
            <w:r>
              <w:rPr>
                <w:rFonts w:ascii="Arial" w:hAnsi="Arial" w:eastAsia="Arial"/>
                <w:b w:val="0"/>
                <w:i w:val="0"/>
                <w:color w:val="2A3140"/>
                <w:sz w:val="17"/>
              </w:rPr>
              <w:t>75.0</w:t>
            </w:r>
          </w:p>
        </w:tc>
        <w:tc>
          <w:tcPr>
            <w:tcW w:type="dxa" w:w="1620"/>
          </w:tcPr>
          <w:p>
            <w:pPr>
              <w:jc w:val="right"/>
            </w:pPr>
            <w:r/>
            <w:r>
              <w:rPr>
                <w:rFonts w:ascii="Arial" w:hAnsi="Arial" w:eastAsia="Arial"/>
                <w:b w:val="0"/>
                <w:i w:val="0"/>
                <w:color w:val="2A3140"/>
                <w:sz w:val="17"/>
              </w:rPr>
              <w:t>15.0%</w:t>
            </w:r>
          </w:p>
        </w:tc>
        <w:tc>
          <w:tcPr>
            <w:tcW w:type="dxa" w:w="1620"/>
          </w:tcPr>
          <w:p>
            <w:pPr>
              <w:jc w:val="right"/>
            </w:pPr>
            <w:r/>
            <w:r>
              <w:rPr>
                <w:rFonts w:ascii="Arial" w:hAnsi="Arial" w:eastAsia="Arial"/>
                <w:b w:val="0"/>
                <w:i w:val="0"/>
                <w:color w:val="2A3140"/>
                <w:sz w:val="17"/>
              </w:rPr>
              <w:t>6.28%</w:t>
            </w:r>
          </w:p>
        </w:tc>
        <w:tc>
          <w:tcPr>
            <w:tcW w:type="dxa" w:w="1620"/>
          </w:tcPr>
          <w:p>
            <w:r/>
            <w:r>
              <w:rPr>
                <w:rFonts w:ascii="Arial" w:hAnsi="Arial" w:eastAsia="Arial"/>
                <w:b w:val="0"/>
                <w:i w:val="0"/>
                <w:color w:val="2A3140"/>
                <w:sz w:val="17"/>
              </w:rPr>
              <w:t>BBB-sf</w:t>
            </w:r>
          </w:p>
        </w:tc>
      </w:tr>
      <w:tr>
        <w:tc>
          <w:tcPr>
            <w:tcW w:type="dxa" w:w="2880"/>
          </w:tcPr>
          <w:p>
            <w:r/>
            <w:r>
              <w:rPr>
                <w:rFonts w:ascii="Arial" w:hAnsi="Arial" w:eastAsia="Arial"/>
                <w:b w:val="0"/>
                <w:i w:val="0"/>
                <w:color w:val="2A3140"/>
                <w:sz w:val="17"/>
              </w:rPr>
              <w:t>Class E</w:t>
            </w:r>
          </w:p>
        </w:tc>
        <w:tc>
          <w:tcPr>
            <w:tcW w:type="dxa" w:w="1620"/>
          </w:tcPr>
          <w:p>
            <w:pPr>
              <w:jc w:val="right"/>
            </w:pPr>
            <w:r/>
            <w:r>
              <w:rPr>
                <w:rFonts w:ascii="Arial" w:hAnsi="Arial" w:eastAsia="Arial"/>
                <w:b w:val="0"/>
                <w:i w:val="0"/>
                <w:color w:val="2A3140"/>
                <w:sz w:val="17"/>
              </w:rPr>
              <w:t>25.99</w:t>
            </w:r>
          </w:p>
        </w:tc>
        <w:tc>
          <w:tcPr>
            <w:tcW w:type="dxa" w:w="1620"/>
          </w:tcPr>
          <w:p>
            <w:pPr>
              <w:jc w:val="right"/>
            </w:pPr>
            <w:r/>
            <w:r>
              <w:rPr>
                <w:rFonts w:ascii="Arial" w:hAnsi="Arial" w:eastAsia="Arial"/>
                <w:b w:val="0"/>
                <w:i w:val="0"/>
                <w:color w:val="2A3140"/>
                <w:sz w:val="17"/>
              </w:rPr>
              <w:t>5.2%</w:t>
            </w:r>
          </w:p>
        </w:tc>
        <w:tc>
          <w:tcPr>
            <w:tcW w:type="dxa" w:w="1620"/>
          </w:tcPr>
          <w:p>
            <w:pPr>
              <w:jc w:val="right"/>
            </w:pPr>
            <w:r/>
            <w:r>
              <w:rPr>
                <w:rFonts w:ascii="Arial" w:hAnsi="Arial" w:eastAsia="Arial"/>
                <w:b w:val="0"/>
                <w:i w:val="0"/>
                <w:color w:val="2A3140"/>
                <w:sz w:val="17"/>
              </w:rPr>
              <w:t>9.38%</w:t>
            </w:r>
          </w:p>
        </w:tc>
        <w:tc>
          <w:tcPr>
            <w:tcW w:type="dxa" w:w="1620"/>
          </w:tcPr>
          <w:p>
            <w:r/>
            <w:r>
              <w:rPr>
                <w:rFonts w:ascii="Arial" w:hAnsi="Arial" w:eastAsia="Arial"/>
                <w:b w:val="0"/>
                <w:i w:val="0"/>
                <w:color w:val="2A3140"/>
                <w:sz w:val="17"/>
              </w:rPr>
              <w:t>BB-sf</w:t>
            </w:r>
          </w:p>
        </w:tc>
      </w:tr>
      <w:tr>
        <w:tc>
          <w:tcPr>
            <w:tcW w:type="dxa" w:w="2880"/>
          </w:tcPr>
          <w:p>
            <w:r/>
            <w:r>
              <w:rPr>
                <w:rFonts w:ascii="Arial" w:hAnsi="Arial" w:eastAsia="Arial"/>
                <w:b w:val="0"/>
                <w:i w:val="0"/>
                <w:color w:val="2A3140"/>
                <w:sz w:val="17"/>
              </w:rPr>
              <w:t>Total notes</w:t>
            </w:r>
          </w:p>
        </w:tc>
        <w:tc>
          <w:tcPr>
            <w:tcW w:type="dxa" w:w="1620"/>
          </w:tcPr>
          <w:p>
            <w:pPr>
              <w:jc w:val="right"/>
            </w:pPr>
            <w:r/>
            <w:r>
              <w:rPr>
                <w:rFonts w:ascii="Arial" w:hAnsi="Arial" w:eastAsia="Arial"/>
                <w:b w:val="0"/>
                <w:i w:val="0"/>
                <w:color w:val="2A3140"/>
                <w:sz w:val="17"/>
              </w:rPr>
              <w:t>484.99</w:t>
            </w:r>
          </w:p>
        </w:tc>
        <w:tc>
          <w:tcPr>
            <w:tcW w:type="dxa" w:w="1620"/>
          </w:tcPr>
          <w:p>
            <w:pPr>
              <w:jc w:val="right"/>
            </w:pPr>
            <w:r/>
            <w:r>
              <w:rPr>
                <w:rFonts w:ascii="Arial" w:hAnsi="Arial" w:eastAsia="Arial"/>
                <w:b w:val="0"/>
                <w:i w:val="0"/>
                <w:color w:val="2A3140"/>
                <w:sz w:val="17"/>
              </w:rPr>
              <w:t>97.0%</w:t>
            </w:r>
          </w:p>
        </w:tc>
        <w:tc>
          <w:tcPr>
            <w:tcW w:type="dxa" w:w="1620"/>
          </w:tcPr>
          <w:p>
            <w:r/>
            <w:r>
              <w:rPr>
                <w:rFonts w:ascii="Arial" w:hAnsi="Arial" w:eastAsia="Arial"/>
                <w:b w:val="0"/>
                <w:i w:val="0"/>
                <w:color w:val="2A3140"/>
                <w:sz w:val="17"/>
              </w:rPr>
              <w:t>5.25% (weighted average)</w:t>
            </w:r>
          </w:p>
        </w:tc>
        <w:tc>
          <w:tcPr>
            <w:tcW w:type="dxa" w:w="1620"/>
          </w:tcPr>
          <w:p>
            <w:r/>
          </w:p>
        </w:tc>
      </w:tr>
    </w:tbl>
    <w:p/>
    <w:p>
      <w:r>
        <w:rPr>
          <w:rFonts w:ascii="Arial" w:hAnsi="Arial" w:eastAsia="Arial"/>
          <w:b w:val="0"/>
          <w:i w:val="0"/>
          <w:color w:val="2A3140"/>
          <w:sz w:val="21"/>
        </w:rPr>
        <w:t>Credit enhancement comes from excess spread, overcollateralization (required amount $15.01M), a reserve account of 0.50% of the notes and subordination. Before a Rapid Amortization Event (RAE), excess spread not needed to cover losses or refill the reserve account is paid to the certificates, which Oportun owns. After an RAE, all excess spread pays down the notes. The RAE triggers include a three-month average annualized Monthly Loss Percentage above 19.0%, a concentration limit breach for three consecutive months, failure of the overcollateralization test for more than five business days, and servicer default. The servicing fee of 5.00% a year is paid ahead of noteholder interest. The seller's offering-memorandum assumptions are a cumulative gross default rate of 15.03%, a loss severity of 95.17% (cumulative net loss 14.30%), 30% CPR (constant prepayment rate) and a 15% discount rate for the certificates, which it valued at $131.0M at closing.</w:t>
      </w:r>
    </w:p>
    <w:p>
      <w:r>
        <w:rPr>
          <w:rFonts w:ascii="Arial" w:hAnsi="Arial" w:eastAsia="Arial"/>
          <w:b w:val="0"/>
          <w:i w:val="0"/>
          <w:color w:val="2A3140"/>
          <w:sz w:val="21"/>
        </w:rPr>
        <w:t>The 2026-A statistical pool ($100.0M at 9 Dec 2025) had a weighted average interest rate of 27.144%, a weighted average original term of 35 months and 70.47% renewal loans. California (30.63%), Texas (27.41%) and Florida (13.76%) made up most of it, and 58.74% of the balance had a VantageScore of 601–700. Exhibit 5 also shows term buckets and 12 quarters of 30–59, 60–89 and 90–119 day delinquency for the servicing portfolio. Trigger levels for the other trusts and the warehouses are not disclosed (n/d).</w:t>
      </w:r>
    </w:p>
    <w:p>
      <w:r>
        <w:rPr>
          <w:rFonts w:ascii="Arial" w:hAnsi="Arial" w:eastAsia="Arial"/>
          <w:b/>
          <w:i w:val="0"/>
          <w:color w:val="2A3140"/>
          <w:sz w:val="21"/>
        </w:rPr>
        <w:t>Existing term loan</w:t>
      </w:r>
      <w:r>
        <w:rPr>
          <w:rFonts w:ascii="Arial" w:hAnsi="Arial" w:eastAsia="Arial"/>
          <w:b w:val="0"/>
          <w:i w:val="0"/>
          <w:color w:val="2A3140"/>
          <w:sz w:val="21"/>
        </w:rPr>
        <w:t xml:space="preserve"> (Exhibit 6). The Credit Agreement dated 23 Oct 2024 has two financial covenants: minimum Liquidity (unrestricted cash) at each month-end and a maximum Corporate Leverage Ratio at each quarter-end. The levels are redacted in the public filing (n/d). Principal fell from $235.0M at funding to $135.0M through mandatory and voluntary repayments. The company paid a $1.5M premium (5.00%) on a $30.0M prepayment in 2Q26. The prepayment premium is 4.00% from 14 Nov 2026 and zero from 14 Nov 2027. The original lenders (Castlelake and Neuberger Berman) were paid a 5.0% upfront fee or OID and received penny warrants over 4.9 million shares (9.8% of fully diluted shares), of which 2.6 million were outstanding at 30 Jun 2026, plus board observer rights.</w:t>
      </w:r>
    </w:p>
    <w:p>
      <w:pPr>
        <w:spacing w:before="240"/>
      </w:pPr>
      <w:r>
        <w:rPr>
          <w:rFonts w:ascii="Georgia" w:hAnsi="Georgia" w:eastAsia="Georgia"/>
          <w:b/>
          <w:i w:val="0"/>
          <w:color w:val="1E3A5F"/>
          <w:sz w:val="26"/>
        </w:rPr>
        <w:t>7. Term sheet (hypothetical)</w:t>
      </w:r>
    </w:p>
    <w:tbl>
      <w:tblPr>
        <w:tblStyle w:val="TableGrid"/>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736"/>
        <w:gridCol w:w="6624"/>
      </w:tblGrid>
      <w:tr>
        <w:tc>
          <w:tcPr>
            <w:tcW w:type="dxa" w:w="2736"/>
            <w:shd w:val="clear" w:color="auto" w:fill="E4EAF3"/>
          </w:tcPr>
          <w:p>
            <w:r/>
            <w:r>
              <w:rPr>
                <w:rFonts w:ascii="Arial" w:hAnsi="Arial" w:eastAsia="Arial"/>
                <w:b/>
                <w:i w:val="0"/>
                <w:color w:val="121826"/>
                <w:sz w:val="17"/>
              </w:rPr>
              <w:t>Term</w:t>
            </w:r>
          </w:p>
        </w:tc>
        <w:tc>
          <w:tcPr>
            <w:tcW w:type="dxa" w:w="6624"/>
            <w:shd w:val="clear" w:color="auto" w:fill="E4EAF3"/>
          </w:tcPr>
          <w:p>
            <w:r/>
            <w:r>
              <w:rPr>
                <w:rFonts w:ascii="Arial" w:hAnsi="Arial" w:eastAsia="Arial"/>
                <w:b/>
                <w:i w:val="0"/>
                <w:color w:val="121826"/>
                <w:sz w:val="17"/>
              </w:rPr>
              <w:t>Proposal</w:t>
            </w:r>
          </w:p>
        </w:tc>
      </w:tr>
      <w:tr>
        <w:tc>
          <w:tcPr>
            <w:tcW w:type="dxa" w:w="2736"/>
          </w:tcPr>
          <w:p>
            <w:r/>
            <w:r>
              <w:rPr>
                <w:rFonts w:ascii="Arial" w:hAnsi="Arial" w:eastAsia="Arial"/>
                <w:b w:val="0"/>
                <w:i w:val="0"/>
                <w:color w:val="2A3140"/>
                <w:sz w:val="17"/>
              </w:rPr>
              <w:t>Facility</w:t>
            </w:r>
          </w:p>
        </w:tc>
        <w:tc>
          <w:tcPr>
            <w:tcW w:type="dxa" w:w="6624"/>
          </w:tcPr>
          <w:p>
            <w:r/>
            <w:r>
              <w:rPr>
                <w:rFonts w:ascii="Arial" w:hAnsi="Arial" w:eastAsia="Arial"/>
                <w:b w:val="0"/>
                <w:i w:val="0"/>
                <w:color w:val="2A3140"/>
                <w:sz w:val="17"/>
              </w:rPr>
              <w:t>$150.0M senior secured term loan, single draw at closing; no delayed draw, so no ticking fee</w:t>
            </w:r>
          </w:p>
        </w:tc>
      </w:tr>
      <w:tr>
        <w:tc>
          <w:tcPr>
            <w:tcW w:type="dxa" w:w="2736"/>
          </w:tcPr>
          <w:p>
            <w:r/>
            <w:r>
              <w:rPr>
                <w:rFonts w:ascii="Arial" w:hAnsi="Arial" w:eastAsia="Arial"/>
                <w:b w:val="0"/>
                <w:i w:val="0"/>
                <w:color w:val="2A3140"/>
                <w:sz w:val="17"/>
              </w:rPr>
              <w:t>Borrower and guarantors</w:t>
            </w:r>
          </w:p>
        </w:tc>
        <w:tc>
          <w:tcPr>
            <w:tcW w:type="dxa" w:w="6624"/>
          </w:tcPr>
          <w:p>
            <w:r/>
            <w:r>
              <w:rPr>
                <w:rFonts w:ascii="Arial" w:hAnsi="Arial" w:eastAsia="Arial"/>
                <w:b w:val="0"/>
                <w:i w:val="0"/>
                <w:color w:val="2A3140"/>
                <w:sz w:val="17"/>
              </w:rPr>
              <w:t>Oportun, Inc.; guaranteed by Oportun Financial Corporation and material subsidiaries other than securitization trusts, warehouse vehicles and their depositors</w:t>
            </w:r>
          </w:p>
        </w:tc>
      </w:tr>
      <w:tr>
        <w:tc>
          <w:tcPr>
            <w:tcW w:type="dxa" w:w="2736"/>
          </w:tcPr>
          <w:p>
            <w:r/>
            <w:r>
              <w:rPr>
                <w:rFonts w:ascii="Arial" w:hAnsi="Arial" w:eastAsia="Arial"/>
                <w:b w:val="0"/>
                <w:i w:val="0"/>
                <w:color w:val="2A3140"/>
                <w:sz w:val="17"/>
              </w:rPr>
              <w:t>Ranking and security</w:t>
            </w:r>
          </w:p>
        </w:tc>
        <w:tc>
          <w:tcPr>
            <w:tcW w:type="dxa" w:w="6624"/>
          </w:tcPr>
          <w:p>
            <w:r/>
            <w:r>
              <w:rPr>
                <w:rFonts w:ascii="Arial" w:hAnsi="Arial" w:eastAsia="Arial"/>
                <w:b w:val="0"/>
                <w:i w:val="0"/>
                <w:color w:val="2A3140"/>
                <w:sz w:val="17"/>
              </w:rPr>
              <w:t>First-priority lien on substantially all assets of the borrower and guarantors, including equity in subsidiaries that hold trust certificates and the servicer; no claim on trust or warehouse assets</w:t>
            </w:r>
          </w:p>
        </w:tc>
      </w:tr>
      <w:tr>
        <w:tc>
          <w:tcPr>
            <w:tcW w:type="dxa" w:w="2736"/>
          </w:tcPr>
          <w:p>
            <w:r/>
            <w:r>
              <w:rPr>
                <w:rFonts w:ascii="Arial" w:hAnsi="Arial" w:eastAsia="Arial"/>
                <w:b w:val="0"/>
                <w:i w:val="0"/>
                <w:color w:val="2A3140"/>
                <w:sz w:val="17"/>
              </w:rPr>
              <w:t>Tenor and maturity</w:t>
            </w:r>
          </w:p>
        </w:tc>
        <w:tc>
          <w:tcPr>
            <w:tcW w:type="dxa" w:w="6624"/>
          </w:tcPr>
          <w:p>
            <w:r/>
            <w:r>
              <w:rPr>
                <w:rFonts w:ascii="Arial" w:hAnsi="Arial" w:eastAsia="Arial"/>
                <w:b w:val="0"/>
                <w:i w:val="0"/>
                <w:color w:val="2A3140"/>
                <w:sz w:val="17"/>
              </w:rPr>
              <w:t>4 years from closing. No springing maturity: the warehouses (maturing Apr-28 to Jul-30) and term securitizations are non-recourse to the borrower</w:t>
            </w:r>
          </w:p>
        </w:tc>
      </w:tr>
      <w:tr>
        <w:tc>
          <w:tcPr>
            <w:tcW w:type="dxa" w:w="2736"/>
          </w:tcPr>
          <w:p>
            <w:r/>
            <w:r>
              <w:rPr>
                <w:rFonts w:ascii="Arial" w:hAnsi="Arial" w:eastAsia="Arial"/>
                <w:b w:val="0"/>
                <w:i w:val="0"/>
                <w:color w:val="2A3140"/>
                <w:sz w:val="17"/>
              </w:rPr>
              <w:t>Pricing</w:t>
            </w:r>
          </w:p>
        </w:tc>
        <w:tc>
          <w:tcPr>
            <w:tcW w:type="dxa" w:w="6624"/>
          </w:tcPr>
          <w:p>
            <w:r/>
            <w:r>
              <w:rPr>
                <w:rFonts w:ascii="Arial" w:hAnsi="Arial" w:eastAsia="Arial"/>
                <w:b w:val="0"/>
                <w:i w:val="0"/>
                <w:color w:val="2A3140"/>
                <w:sz w:val="17"/>
              </w:rPr>
              <w:t>3M Term SOFR + 7.50% cash, 1.00% SOFR floor, issue price 98.0, $2.0M fees (illustrative). Base rate: 3M Term SOFR 4.03887% on 9 Oct 2026 (CME); 1M Term SOFR 3.92490%</w:t>
            </w:r>
          </w:p>
        </w:tc>
      </w:tr>
      <w:tr>
        <w:tc>
          <w:tcPr>
            <w:tcW w:type="dxa" w:w="2736"/>
          </w:tcPr>
          <w:p>
            <w:r/>
            <w:r>
              <w:rPr>
                <w:rFonts w:ascii="Arial" w:hAnsi="Arial" w:eastAsia="Arial"/>
                <w:b w:val="0"/>
                <w:i w:val="0"/>
                <w:color w:val="2A3140"/>
                <w:sz w:val="17"/>
              </w:rPr>
              <w:t>Call protection</w:t>
            </w:r>
          </w:p>
        </w:tc>
        <w:tc>
          <w:tcPr>
            <w:tcW w:type="dxa" w:w="6624"/>
          </w:tcPr>
          <w:p>
            <w:r/>
            <w:r>
              <w:rPr>
                <w:rFonts w:ascii="Arial" w:hAnsi="Arial" w:eastAsia="Arial"/>
                <w:b w:val="0"/>
                <w:i w:val="0"/>
                <w:color w:val="2A3140"/>
                <w:sz w:val="17"/>
              </w:rPr>
              <w:t>101 soft call for 12 months, par thereafter</w:t>
            </w:r>
          </w:p>
        </w:tc>
      </w:tr>
      <w:tr>
        <w:tc>
          <w:tcPr>
            <w:tcW w:type="dxa" w:w="2736"/>
          </w:tcPr>
          <w:p>
            <w:r/>
            <w:r>
              <w:rPr>
                <w:rFonts w:ascii="Arial" w:hAnsi="Arial" w:eastAsia="Arial"/>
                <w:b w:val="0"/>
                <w:i w:val="0"/>
                <w:color w:val="2A3140"/>
                <w:sz w:val="17"/>
              </w:rPr>
              <w:t>Amortization</w:t>
            </w:r>
          </w:p>
        </w:tc>
        <w:tc>
          <w:tcPr>
            <w:tcW w:type="dxa" w:w="6624"/>
          </w:tcPr>
          <w:p>
            <w:r/>
            <w:r>
              <w:rPr>
                <w:rFonts w:ascii="Arial" w:hAnsi="Arial" w:eastAsia="Arial"/>
                <w:b w:val="0"/>
                <w:i w:val="0"/>
                <w:color w:val="2A3140"/>
                <w:sz w:val="17"/>
              </w:rPr>
              <w:t>5% of original principal a year, paid quarterly; balance at maturity</w:t>
            </w:r>
          </w:p>
        </w:tc>
      </w:tr>
      <w:tr>
        <w:tc>
          <w:tcPr>
            <w:tcW w:type="dxa" w:w="2736"/>
          </w:tcPr>
          <w:p>
            <w:r/>
            <w:r>
              <w:rPr>
                <w:rFonts w:ascii="Arial" w:hAnsi="Arial" w:eastAsia="Arial"/>
                <w:b w:val="0"/>
                <w:i w:val="0"/>
                <w:color w:val="2A3140"/>
                <w:sz w:val="17"/>
              </w:rPr>
              <w:t>Financial covenant: Minimum Liquidity</w:t>
            </w:r>
          </w:p>
        </w:tc>
        <w:tc>
          <w:tcPr>
            <w:tcW w:type="dxa" w:w="6624"/>
          </w:tcPr>
          <w:p>
            <w:r/>
            <w:r>
              <w:rPr>
                <w:rFonts w:ascii="Arial" w:hAnsi="Arial" w:eastAsia="Arial"/>
                <w:b w:val="0"/>
                <w:i w:val="0"/>
                <w:color w:val="2A3140"/>
                <w:sz w:val="17"/>
              </w:rPr>
              <w:t>Unrestricted cash and cash equivalents of at least $60M at each month-end</w:t>
            </w:r>
          </w:p>
        </w:tc>
      </w:tr>
      <w:tr>
        <w:tc>
          <w:tcPr>
            <w:tcW w:type="dxa" w:w="2736"/>
          </w:tcPr>
          <w:p>
            <w:r/>
            <w:r>
              <w:rPr>
                <w:rFonts w:ascii="Arial" w:hAnsi="Arial" w:eastAsia="Arial"/>
                <w:b w:val="0"/>
                <w:i w:val="0"/>
                <w:color w:val="2A3140"/>
                <w:sz w:val="17"/>
              </w:rPr>
              <w:t>Financial covenant: Maximum Corporate Leverage Ratio</w:t>
            </w:r>
          </w:p>
        </w:tc>
        <w:tc>
          <w:tcPr>
            <w:tcW w:type="dxa" w:w="6624"/>
          </w:tcPr>
          <w:p>
            <w:r/>
            <w:r>
              <w:rPr>
                <w:rFonts w:ascii="Arial" w:hAnsi="Arial" w:eastAsia="Arial"/>
                <w:b w:val="0"/>
                <w:i w:val="0"/>
                <w:color w:val="2A3140"/>
                <w:sz w:val="17"/>
              </w:rPr>
              <w:t>2.50x at each quarter-end. Corporate Indebtedness (gross principal of corporate debt) ÷ Consolidated Adjusted EBITDA for the last four quarters. Unusual or non-recurring add-backs capped at 20% of Consolidated Adjusted EBITDA</w:t>
            </w:r>
          </w:p>
        </w:tc>
      </w:tr>
      <w:tr>
        <w:tc>
          <w:tcPr>
            <w:tcW w:type="dxa" w:w="2736"/>
          </w:tcPr>
          <w:p>
            <w:r/>
            <w:r>
              <w:rPr>
                <w:rFonts w:ascii="Arial" w:hAnsi="Arial" w:eastAsia="Arial"/>
                <w:b w:val="0"/>
                <w:i w:val="0"/>
                <w:color w:val="2A3140"/>
                <w:sz w:val="17"/>
              </w:rPr>
              <w:t>Financial covenant: Minimum Net Receivables Equity Coverage</w:t>
            </w:r>
          </w:p>
        </w:tc>
        <w:tc>
          <w:tcPr>
            <w:tcW w:type="dxa" w:w="6624"/>
          </w:tcPr>
          <w:p>
            <w:r/>
            <w:r>
              <w:rPr>
                <w:rFonts w:ascii="Arial" w:hAnsi="Arial" w:eastAsia="Arial"/>
                <w:b w:val="0"/>
                <w:i w:val="0"/>
                <w:color w:val="2A3140"/>
                <w:sz w:val="17"/>
              </w:rPr>
              <w:t>1.50x at each quarter-end. Net Receivables Equity = loans receivable at fair value + restricted cash − warehouse debt − asset-backed notes at fair value − asset-backed borrowings at amortized cost; divided by Corporate Indebtedness</w:t>
            </w:r>
          </w:p>
        </w:tc>
      </w:tr>
      <w:tr>
        <w:tc>
          <w:tcPr>
            <w:tcW w:type="dxa" w:w="2736"/>
          </w:tcPr>
          <w:p>
            <w:r/>
            <w:r>
              <w:rPr>
                <w:rFonts w:ascii="Arial" w:hAnsi="Arial" w:eastAsia="Arial"/>
                <w:b w:val="0"/>
                <w:i w:val="0"/>
                <w:color w:val="2A3140"/>
                <w:sz w:val="17"/>
              </w:rPr>
              <w:t>Step-downs</w:t>
            </w:r>
          </w:p>
        </w:tc>
        <w:tc>
          <w:tcPr>
            <w:tcW w:type="dxa" w:w="6624"/>
          </w:tcPr>
          <w:p>
            <w:r/>
            <w:r>
              <w:rPr>
                <w:rFonts w:ascii="Arial" w:hAnsi="Arial" w:eastAsia="Arial"/>
                <w:b w:val="0"/>
                <w:i w:val="0"/>
                <w:color w:val="2A3140"/>
                <w:sz w:val="17"/>
              </w:rPr>
              <w:t>None</w:t>
            </w:r>
          </w:p>
        </w:tc>
      </w:tr>
      <w:tr>
        <w:tc>
          <w:tcPr>
            <w:tcW w:type="dxa" w:w="2736"/>
          </w:tcPr>
          <w:p>
            <w:r/>
            <w:r>
              <w:rPr>
                <w:rFonts w:ascii="Arial" w:hAnsi="Arial" w:eastAsia="Arial"/>
                <w:b w:val="0"/>
                <w:i w:val="0"/>
                <w:color w:val="2A3140"/>
                <w:sz w:val="17"/>
              </w:rPr>
              <w:t>Equity cure</w:t>
            </w:r>
          </w:p>
        </w:tc>
        <w:tc>
          <w:tcPr>
            <w:tcW w:type="dxa" w:w="6624"/>
          </w:tcPr>
          <w:p>
            <w:r/>
            <w:r>
              <w:rPr>
                <w:rFonts w:ascii="Arial" w:hAnsi="Arial" w:eastAsia="Arial"/>
                <w:b w:val="0"/>
                <w:i w:val="0"/>
                <w:color w:val="2A3140"/>
                <w:sz w:val="17"/>
              </w:rPr>
              <w:t>Allowed for any financial covenant; no more than 2 in any 4 consecutive quarters and 4 over the life of the loan</w:t>
            </w:r>
          </w:p>
        </w:tc>
      </w:tr>
      <w:tr>
        <w:tc>
          <w:tcPr>
            <w:tcW w:type="dxa" w:w="2736"/>
          </w:tcPr>
          <w:p>
            <w:r/>
            <w:r>
              <w:rPr>
                <w:rFonts w:ascii="Arial" w:hAnsi="Arial" w:eastAsia="Arial"/>
                <w:b w:val="0"/>
                <w:i w:val="0"/>
                <w:color w:val="2A3140"/>
                <w:sz w:val="17"/>
              </w:rPr>
              <w:t>Debt baskets</w:t>
            </w:r>
          </w:p>
        </w:tc>
        <w:tc>
          <w:tcPr>
            <w:tcW w:type="dxa" w:w="6624"/>
          </w:tcPr>
          <w:p>
            <w:r/>
            <w:r>
              <w:rPr>
                <w:rFonts w:ascii="Arial" w:hAnsi="Arial" w:eastAsia="Arial"/>
                <w:b w:val="0"/>
                <w:i w:val="0"/>
                <w:color w:val="2A3140"/>
                <w:sz w:val="17"/>
              </w:rPr>
              <w:t>$15M general basket at the borrower and guarantors; non-recourse securitization and warehouse debt permitted without limit</w:t>
            </w:r>
          </w:p>
        </w:tc>
      </w:tr>
      <w:tr>
        <w:tc>
          <w:tcPr>
            <w:tcW w:type="dxa" w:w="2736"/>
          </w:tcPr>
          <w:p>
            <w:r/>
            <w:r>
              <w:rPr>
                <w:rFonts w:ascii="Arial" w:hAnsi="Arial" w:eastAsia="Arial"/>
                <w:b w:val="0"/>
                <w:i w:val="0"/>
                <w:color w:val="2A3140"/>
                <w:sz w:val="17"/>
              </w:rPr>
              <w:t>Restricted payments</w:t>
            </w:r>
          </w:p>
        </w:tc>
        <w:tc>
          <w:tcPr>
            <w:tcW w:type="dxa" w:w="6624"/>
          </w:tcPr>
          <w:p>
            <w:r/>
            <w:r>
              <w:rPr>
                <w:rFonts w:ascii="Arial" w:hAnsi="Arial" w:eastAsia="Arial"/>
                <w:b w:val="0"/>
                <w:i w:val="0"/>
                <w:color w:val="2A3140"/>
                <w:sz w:val="17"/>
              </w:rPr>
              <w:t>Permitted if pro forma Corporate Leverage Ratio (gross) is 1.50x or less and Liquidity is at least $100M</w:t>
            </w:r>
          </w:p>
        </w:tc>
      </w:tr>
      <w:tr>
        <w:tc>
          <w:tcPr>
            <w:tcW w:type="dxa" w:w="2736"/>
          </w:tcPr>
          <w:p>
            <w:r/>
            <w:r>
              <w:rPr>
                <w:rFonts w:ascii="Arial" w:hAnsi="Arial" w:eastAsia="Arial"/>
                <w:b w:val="0"/>
                <w:i w:val="0"/>
                <w:color w:val="2A3140"/>
                <w:sz w:val="17"/>
              </w:rPr>
              <w:t>Mandatory prepayments</w:t>
            </w:r>
          </w:p>
        </w:tc>
        <w:tc>
          <w:tcPr>
            <w:tcW w:type="dxa" w:w="6624"/>
          </w:tcPr>
          <w:p>
            <w:r/>
            <w:r>
              <w:rPr>
                <w:rFonts w:ascii="Arial" w:hAnsi="Arial" w:eastAsia="Arial"/>
                <w:b w:val="0"/>
                <w:i w:val="0"/>
                <w:color w:val="2A3140"/>
                <w:sz w:val="17"/>
              </w:rPr>
              <w:t>Excess cash flow sweep 25%, falling to 0% when the Corporate Leverage Ratio is below 1.00x; 100% of net proceeds of asset sales above $25M, including sales of trust certificates or the servicing platform; change of control at 101</w:t>
            </w:r>
          </w:p>
        </w:tc>
      </w:tr>
      <w:tr>
        <w:tc>
          <w:tcPr>
            <w:tcW w:type="dxa" w:w="2736"/>
          </w:tcPr>
          <w:p>
            <w:r/>
            <w:r>
              <w:rPr>
                <w:rFonts w:ascii="Arial" w:hAnsi="Arial" w:eastAsia="Arial"/>
                <w:b w:val="0"/>
                <w:i w:val="0"/>
                <w:color w:val="2A3140"/>
                <w:sz w:val="17"/>
              </w:rPr>
              <w:t>Reporting</w:t>
            </w:r>
          </w:p>
        </w:tc>
        <w:tc>
          <w:tcPr>
            <w:tcW w:type="dxa" w:w="6624"/>
          </w:tcPr>
          <w:p>
            <w:r/>
            <w:r>
              <w:rPr>
                <w:rFonts w:ascii="Arial" w:hAnsi="Arial" w:eastAsia="Arial"/>
                <w:b w:val="0"/>
                <w:i w:val="0"/>
                <w:color w:val="2A3140"/>
                <w:sz w:val="17"/>
              </w:rPr>
              <w:t>Monthly Liquidity certificate and copies of trust servicer reports; quarterly compliance certificate; quarterly and annual financial statements as filed with the SEC</w:t>
            </w:r>
          </w:p>
        </w:tc>
      </w:tr>
      <w:tr>
        <w:tc>
          <w:tcPr>
            <w:tcW w:type="dxa" w:w="2736"/>
          </w:tcPr>
          <w:p>
            <w:r/>
            <w:r>
              <w:rPr>
                <w:rFonts w:ascii="Arial" w:hAnsi="Arial" w:eastAsia="Arial"/>
                <w:b w:val="0"/>
                <w:i w:val="0"/>
                <w:color w:val="2A3140"/>
                <w:sz w:val="17"/>
              </w:rPr>
              <w:t>Asset-class specifics</w:t>
            </w:r>
          </w:p>
        </w:tc>
        <w:tc>
          <w:tcPr>
            <w:tcW w:type="dxa" w:w="6624"/>
          </w:tcPr>
          <w:p>
            <w:r/>
            <w:r>
              <w:rPr>
                <w:rFonts w:ascii="Arial" w:hAnsi="Arial" w:eastAsia="Arial"/>
                <w:b w:val="0"/>
                <w:i w:val="0"/>
                <w:color w:val="2A3140"/>
                <w:sz w:val="17"/>
              </w:rPr>
              <w:t>No borrowing base, advance rate, eligibility criteria or reserves; no cash dominion; no covenant or default linked to trust or warehouse performance triggers</w:t>
            </w:r>
          </w:p>
        </w:tc>
      </w:tr>
    </w:tbl>
    <w:p/>
    <w:p>
      <w:r>
        <w:rPr>
          <w:rFonts w:ascii="Arial" w:hAnsi="Arial" w:eastAsia="Arial"/>
          <w:b w:val="0"/>
          <w:i/>
          <w:color w:val="2A3140"/>
          <w:sz w:val="21"/>
        </w:rPr>
        <w:t>Covenant levels and fees are illustrative; no verified 2026 market band exists for corporate loans to non-prime consumer lenders.</w:t>
      </w:r>
    </w:p>
    <w:p>
      <w:pPr>
        <w:spacing w:before="240"/>
      </w:pPr>
      <w:r>
        <w:rPr>
          <w:rFonts w:ascii="Georgia" w:hAnsi="Georgia" w:eastAsia="Georgia"/>
          <w:b/>
          <w:i w:val="0"/>
          <w:color w:val="1E3A5F"/>
          <w:sz w:val="26"/>
        </w:rPr>
        <w:t>8. Diligence findings</w:t>
      </w:r>
    </w:p>
    <w:p>
      <w:pPr>
        <w:pStyle w:val="ListBullet"/>
      </w:pPr>
      <w:r>
        <w:rPr>
          <w:rFonts w:ascii="Arial" w:hAnsi="Arial" w:eastAsia="Arial"/>
          <w:b/>
          <w:i w:val="0"/>
          <w:color w:val="2A3140"/>
          <w:sz w:val="21"/>
        </w:rPr>
        <w:t>Legal:</w:t>
      </w:r>
      <w:r>
        <w:rPr>
          <w:rFonts w:ascii="Arial" w:hAnsi="Arial" w:eastAsia="Arial"/>
          <w:b w:val="0"/>
          <w:i w:val="0"/>
          <w:color w:val="2A3140"/>
          <w:sz w:val="21"/>
        </w:rPr>
        <w:t xml:space="preserve"> the existing Credit Agreement redacts covenant levels and the annualization factor in the public filing. No Moody's, S&amp;P or Fitch corporate rating for Oportun was found; the trust notes are rated by Fitch.</w:t>
      </w:r>
    </w:p>
    <w:p>
      <w:pPr>
        <w:pStyle w:val="ListBullet"/>
      </w:pPr>
      <w:r>
        <w:rPr>
          <w:rFonts w:ascii="Arial" w:hAnsi="Arial" w:eastAsia="Arial"/>
          <w:b/>
          <w:i w:val="0"/>
          <w:color w:val="2A3140"/>
          <w:sz w:val="21"/>
        </w:rPr>
        <w:t>Accounting:</w:t>
      </w:r>
      <w:r>
        <w:rPr>
          <w:rFonts w:ascii="Arial" w:hAnsi="Arial" w:eastAsia="Arial"/>
          <w:b w:val="0"/>
          <w:i w:val="0"/>
          <w:color w:val="2A3140"/>
          <w:sz w:val="21"/>
        </w:rPr>
        <w:t xml:space="preserve"> loans are carried at fair value. At 30 Jun 2026 fair value was $2,736.8M against unpaid principal of $2,648.5M, using a 6.30% discount rate and remaining cumulative charge-offs of 12.22%.</w:t>
      </w:r>
    </w:p>
    <w:p>
      <w:pPr>
        <w:pStyle w:val="ListBullet"/>
      </w:pPr>
      <w:r>
        <w:rPr>
          <w:rFonts w:ascii="Arial" w:hAnsi="Arial" w:eastAsia="Arial"/>
          <w:b/>
          <w:i w:val="0"/>
          <w:color w:val="2A3140"/>
          <w:sz w:val="21"/>
        </w:rPr>
        <w:t>Funding:</w:t>
      </w:r>
      <w:r>
        <w:rPr>
          <w:rFonts w:ascii="Arial" w:hAnsi="Arial" w:eastAsia="Arial"/>
          <w:b w:val="0"/>
          <w:i w:val="0"/>
          <w:color w:val="2A3140"/>
          <w:sz w:val="21"/>
        </w:rPr>
        <w:t xml:space="preserve"> Pathward originated about 98% of 2025 originations. Losing the program would disrupt origination; the Column N.A. program is new.</w:t>
      </w:r>
    </w:p>
    <w:p>
      <w:pPr>
        <w:pStyle w:val="ListBullet"/>
      </w:pPr>
      <w:r>
        <w:rPr>
          <w:rFonts w:ascii="Arial" w:hAnsi="Arial" w:eastAsia="Arial"/>
          <w:b/>
          <w:i w:val="0"/>
          <w:color w:val="2A3140"/>
          <w:sz w:val="21"/>
        </w:rPr>
        <w:t>Data gaps:</w:t>
      </w:r>
      <w:r>
        <w:rPr>
          <w:rFonts w:ascii="Arial" w:hAnsi="Arial" w:eastAsia="Arial"/>
          <w:b w:val="0"/>
          <w:i w:val="0"/>
          <w:color w:val="2A3140"/>
          <w:sz w:val="21"/>
        </w:rPr>
        <w:t xml:space="preserve"> monthly trust servicer reports and trust-level excess spread are not public for these 144A deals and have been requested (n/d). The 2026-A pool data are from a $100.0M statistical sample, not the final pool.</w:t>
      </w:r>
    </w:p>
    <w:p>
      <w:pPr>
        <w:pStyle w:val="ListBullet"/>
      </w:pPr>
      <w:r>
        <w:rPr>
          <w:rFonts w:ascii="Arial" w:hAnsi="Arial" w:eastAsia="Arial"/>
          <w:b/>
          <w:i w:val="0"/>
          <w:color w:val="2A3140"/>
          <w:sz w:val="21"/>
        </w:rPr>
        <w:t>Management:</w:t>
      </w:r>
      <w:r>
        <w:rPr>
          <w:rFonts w:ascii="Arial" w:hAnsi="Arial" w:eastAsia="Arial"/>
          <w:b w:val="0"/>
          <w:i w:val="0"/>
          <w:color w:val="2A3140"/>
          <w:sz w:val="21"/>
        </w:rPr>
        <w:t xml:space="preserve"> chief executive, chief financial officer and chief risk officer have all changed since April 2026.</w:t>
      </w:r>
    </w:p>
    <w:p>
      <w:pPr>
        <w:spacing w:before="240"/>
      </w:pPr>
      <w:r>
        <w:rPr>
          <w:rFonts w:ascii="Georgia" w:hAnsi="Georgia" w:eastAsia="Georgia"/>
          <w:b/>
          <w:i w:val="0"/>
          <w:color w:val="1E3A5F"/>
          <w:sz w:val="26"/>
        </w:rPr>
        <w:t>9. Questions</w:t>
      </w:r>
    </w:p>
    <w:p>
      <w:pPr>
        <w:pStyle w:val="ListNumber"/>
      </w:pPr>
      <w:r>
        <w:rPr>
          <w:rFonts w:ascii="Arial" w:hAnsi="Arial" w:eastAsia="Arial"/>
          <w:b w:val="0"/>
          <w:i w:val="0"/>
          <w:color w:val="2A3140"/>
          <w:sz w:val="21"/>
        </w:rPr>
        <w:t>Using Exhibits 1–3, compute (a) pro forma cash interest coverage on the new loan using LTM Jun-26 Adjusted EBITDA and 3M Term SOFR of 4.03887% (9 Oct 2026, CME), and (b) Net Receivables Equity Coverage as defined in the term sheet, then again with loans at unpaid principal balance instead of fair value. For each measure, explain what it captures about the corporate lender's position and what it misses.</w:t>
      </w:r>
    </w:p>
    <w:p>
      <w:pPr>
        <w:pStyle w:val="ListNumber"/>
      </w:pPr>
      <w:r>
        <w:rPr>
          <w:rFonts w:ascii="Arial" w:hAnsi="Arial" w:eastAsia="Arial"/>
          <w:b w:val="0"/>
          <w:i w:val="0"/>
          <w:color w:val="2A3140"/>
          <w:sz w:val="21"/>
        </w:rPr>
        <w:t>For Oportun Issuance Trust 2026-A, estimate the annual excess spread available to the certificates before losses, using the pool interest rate, the servicing fee and the note coupons. At what annualized loss rate does it reach zero? Compare that rate with the 19.0% Rapid Amortization trigger and with Oportun's net charge-off history in Exhibit 4. What happens to cash flowing to Oportun, Inc. after an RAE?</w:t>
      </w:r>
    </w:p>
    <w:p>
      <w:pPr>
        <w:pStyle w:val="ListNumber"/>
      </w:pPr>
      <w:r>
        <w:rPr>
          <w:rFonts w:ascii="Arial" w:hAnsi="Arial" w:eastAsia="Arial"/>
          <w:b w:val="0"/>
          <w:i w:val="0"/>
          <w:color w:val="2A3140"/>
          <w:sz w:val="21"/>
        </w:rPr>
        <w:t>Build a downside case from Oportun's own history: its worst quarter in Exhibit 4 and its worst static-pool vintage in Exhibit 5, translated into a cumulative default rate × loss severity against the seller's 2026-A assumptions. Add the forward curve +100bp. Show the effect on Adjusted EBITDA, residual cash flows, each of the three proposed covenants and Liquidity, and estimate the recovery on the term loan.</w:t>
      </w:r>
    </w:p>
    <w:p>
      <w:pPr>
        <w:pStyle w:val="ListNumber"/>
      </w:pPr>
      <w:r>
        <w:rPr>
          <w:rFonts w:ascii="Arial" w:hAnsi="Arial" w:eastAsia="Arial"/>
          <w:b w:val="0"/>
          <w:i w:val="0"/>
          <w:color w:val="2A3140"/>
          <w:sz w:val="21"/>
        </w:rPr>
        <w:t>Critique the proposed structure and pricing against the existing loan (Exhibit 6) and the labelled reference points in Exhibit 7. Is 3M Term SOFR + 7.50% at 98.0 adequate for where this loan sits in the capital structure, and which terms would you change? Separately, does refinancing in December 2026 make sense for Oportun compared with waiting until the premium falls to zero on 14 Nov 2027?</w:t>
      </w:r>
    </w:p>
    <w:p>
      <w:pPr>
        <w:pStyle w:val="ListNumber"/>
      </w:pPr>
      <w:r>
        <w:rPr>
          <w:rFonts w:ascii="Arial" w:hAnsi="Arial" w:eastAsia="Arial"/>
          <w:b w:val="0"/>
          <w:i w:val="0"/>
          <w:color w:val="2A3140"/>
          <w:sz w:val="21"/>
        </w:rPr>
        <w:t>Recommend approval, approval with conditions or decline. State your hold size, the covenant and documentation changes you would require, and the diligence items that must be closed before funding.</w:t>
      </w:r>
    </w:p>
    <w:p>
      <w:r>
        <w:rPr>
          <w:rFonts w:ascii="Arial" w:hAnsi="Arial" w:eastAsia="Arial"/>
          <w:b w:val="0"/>
          <w:i/>
          <w:color w:val="2A3140"/>
          <w:sz w:val="21"/>
        </w:rPr>
        <w:t>Abbreviations: ABS, asset-backed securities; APR, annual percentage rate; CPR, constant prepayment rate; DPD, days past due; LTM, last twelve months; OID, original issue discount; PIK, payable in kind; RAE, Rapid Amortization Event; SOFR, Secured Overnight Financing Rate. Definitions of every metric are in the workbook README.</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B6475"/>
        <w:sz w:val="16"/>
      </w:rPr>
      <w:t xml:space="preserve">IC Simulator · Oportun corporate loan refinancing · Intermediate · Practice use only · Page </w:t>
    </w:r>
    <w:r>
      <w:rPr>
        <w:sz w:val="16"/>
      </w:rPr>
      <w:fldChar w:fldCharType="begin"/>
      <w:instrText xml:space="preserve">PAGE</w:instrText>
      <w:fldChar w:fldCharType="end"/>
    </w:r>
    <w:r>
      <w:rPr>
        <w:rFonts w:ascii="Arial" w:hAnsi="Arial" w:eastAsia="Arial"/>
        <w:b w:val="0"/>
        <w:i w:val="0"/>
        <w:color w:val="5B6475"/>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val="0"/>
        <w:i w:val="0"/>
        <w:color w:val="5B6475"/>
        <w:sz w:val="16"/>
      </w:rPr>
      <w:t>Oportun: refinancing the 15% corporate loan · Case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