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Owl Rock CLO XXVI: Class C notes: secondary purchase of $10.0M, A (sf)</w:t>
      </w:r>
    </w:p>
    <w:p>
      <w:pPr>
        <w:spacing w:after="80"/>
      </w:pPr>
      <w:r>
        <w:rPr>
          <w:b/>
        </w:rPr>
        <w:t>Investment Committee packet · Harborline Life Insurance Company (HYPOTHETICAL) · Structured Credit</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649"/>
        <w:gridCol w:w="5710"/>
      </w:tblGrid>
      <w:tr>
        <w:tc>
          <w:tcPr>
            <w:tcW w:type="dxa" w:w="3650"/>
            <w:shd w:val="clear" w:color="auto" w:fill="E4EAF3"/>
          </w:tcPr>
          <w:p>
            <w:pPr>
              <w:spacing w:after="0"/>
            </w:pPr>
            <w:r>
              <w:rPr>
                <w:b/>
                <w:color w:val="121826"/>
                <w:sz w:val="17"/>
              </w:rPr>
              <w:t>Item</w:t>
            </w:r>
          </w:p>
        </w:tc>
        <w:tc>
          <w:tcPr>
            <w:tcW w:type="dxa" w:w="5710"/>
            <w:shd w:val="clear" w:color="auto" w:fill="E4EAF3"/>
          </w:tcPr>
          <w:p>
            <w:pPr>
              <w:spacing w:after="0"/>
            </w:pPr>
            <w:r>
              <w:rPr>
                <w:b/>
                <w:color w:val="121826"/>
                <w:sz w:val="17"/>
              </w:rPr>
              <w:t>Detail</w:t>
            </w:r>
          </w:p>
        </w:tc>
      </w:tr>
      <w:tr>
        <w:tc>
          <w:tcPr>
            <w:tcW w:type="dxa" w:w="3650"/>
          </w:tcPr>
          <w:p>
            <w:pPr>
              <w:spacing w:after="0"/>
            </w:pPr>
            <w:r>
              <w:rPr>
                <w:sz w:val="17"/>
              </w:rPr>
              <w:t>Security</w:t>
            </w:r>
          </w:p>
        </w:tc>
        <w:tc>
          <w:tcPr>
            <w:tcW w:type="dxa" w:w="5710"/>
          </w:tcPr>
          <w:p>
            <w:pPr>
              <w:spacing w:after="0"/>
            </w:pPr>
            <w:r>
              <w:rPr>
                <w:sz w:val="17"/>
              </w:rPr>
              <w:t>Class C Notes due July 2038 issued by Owl Rock CLO XXVI, LLC, a middle-market collateralized loan obligation (CLO) consolidated by Blue Owl Capital Corporation (NYSE: OBDC)</w:t>
            </w:r>
          </w:p>
        </w:tc>
      </w:tr>
      <w:tr>
        <w:tc>
          <w:tcPr>
            <w:tcW w:type="dxa" w:w="3650"/>
          </w:tcPr>
          <w:p>
            <w:pPr>
              <w:spacing w:after="0"/>
            </w:pPr>
            <w:r>
              <w:rPr>
                <w:sz w:val="17"/>
              </w:rPr>
              <w:t>Data as of</w:t>
            </w:r>
          </w:p>
        </w:tc>
        <w:tc>
          <w:tcPr>
            <w:tcW w:type="dxa" w:w="5710"/>
          </w:tcPr>
          <w:p>
            <w:pPr>
              <w:spacing w:after="0"/>
            </w:pPr>
            <w:r>
              <w:rPr>
                <w:sz w:val="17"/>
              </w:rPr>
              <w:t>Deal terms at closing on Sep 2, 2026 (OBDC Form 8-K filed Sep 8, 2026, with the Indenture as Exhibit 10.1); OBDC data to Jun 30, 2026 (Form 10-Q filed Aug 5, 2026); market data to Oct 9, 2026</w:t>
            </w:r>
          </w:p>
        </w:tc>
      </w:tr>
      <w:tr>
        <w:tc>
          <w:tcPr>
            <w:tcW w:type="dxa" w:w="3650"/>
          </w:tcPr>
          <w:p>
            <w:pPr>
              <w:spacing w:after="0"/>
            </w:pPr>
            <w:r>
              <w:rPr>
                <w:sz w:val="17"/>
              </w:rPr>
              <w:t>Decision date</w:t>
            </w:r>
          </w:p>
        </w:tc>
        <w:tc>
          <w:tcPr>
            <w:tcW w:type="dxa" w:w="5710"/>
          </w:tcPr>
          <w:p>
            <w:pPr>
              <w:spacing w:after="0"/>
            </w:pPr>
            <w:r>
              <w:rPr>
                <w:sz w:val="17"/>
              </w:rPr>
              <w:t>Harborline Life Insurance Company Investment Committee, Oct 20, 2026 (HYPOTHETICAL)</w:t>
            </w:r>
          </w:p>
        </w:tc>
      </w:tr>
      <w:tr>
        <w:tc>
          <w:tcPr>
            <w:tcW w:type="dxa" w:w="3650"/>
          </w:tcPr>
          <w:p>
            <w:pPr>
              <w:spacing w:after="0"/>
            </w:pPr>
            <w:r>
              <w:rPr>
                <w:sz w:val="17"/>
              </w:rPr>
              <w:t>Level and time</w:t>
            </w:r>
          </w:p>
        </w:tc>
        <w:tc>
          <w:tcPr>
            <w:tcW w:type="dxa" w:w="5710"/>
          </w:tcPr>
          <w:p>
            <w:pPr>
              <w:spacing w:after="0"/>
            </w:pPr>
            <w:r>
              <w:rPr>
                <w:sz w:val="17"/>
              </w:rPr>
              <w:t>Intermediate · about 3–4 hours · investment memo of 1,200–2,000 words, a cash-flow model and a 5-slide deck</w:t>
            </w:r>
          </w:p>
        </w:tc>
      </w:tr>
      <w:tr>
        <w:tc>
          <w:tcPr>
            <w:tcW w:type="dxa" w:w="3650"/>
          </w:tcPr>
          <w:p>
            <w:pPr>
              <w:spacing w:after="0"/>
            </w:pPr>
            <w:r>
              <w:rPr>
                <w:sz w:val="17"/>
              </w:rPr>
              <w:t>Data book</w:t>
            </w:r>
          </w:p>
        </w:tc>
        <w:tc>
          <w:tcPr>
            <w:tcW w:type="dxa" w:w="5710"/>
          </w:tcPr>
          <w:p>
            <w:pPr>
              <w:spacing w:after="0"/>
            </w:pPr>
            <w:r>
              <w:rPr>
                <w:sz w:val="17"/>
              </w:rPr>
              <w:t>exhibits-owl-rock-clo-xxvi-class-c.xlsx (Exhibits 1–6, README and a Checks tab)</w:t>
            </w:r>
          </w:p>
        </w:tc>
      </w:tr>
    </w:tbl>
    <w:p>
      <w:pPr>
        <w:spacing w:after="40"/>
      </w:pPr>
    </w:p>
    <w:p>
      <w:r>
        <w:rPr>
          <w:b/>
          <w:color w:val="5B6475"/>
          <w:sz w:val="18"/>
        </w:rPr>
        <w:t>About this case.</w:t>
      </w:r>
      <w:r>
        <w:rPr>
          <w:color w:val="5B6475"/>
          <w:sz w:val="18"/>
        </w:rPr>
        <w:t xml:space="preserve"> The CLO, its capital structure, its Indenture terms, the collateral manager, OBDC's financial statements and portfolio history, and all market and regulatory data are real and come from the sources cited under each exhibit and in the data book README. The following are HYPOTHETICAL: Harborline Life Insurance Company (your employer), its investment policy, cost of capital and existing CLO holdings; the $10.0M secondary offer from SG Americas Securities, its price and dates; and the dealer's sales note quoted in Section 8. The CLO's loan-by-loan schedule was not filed with the SEC (the Indenture schedules were omitted under Item 601(a)(5) of Regulation S-K), so Exhibit 3 shows OBDC's whole portfolio as a labelled proxy for the collateral. Practice use only.</w:t>
      </w:r>
    </w:p>
    <w:p>
      <w:pPr>
        <w:pStyle w:val="Heading2"/>
      </w:pPr>
      <w:r>
        <w:t>0. The ask</w:t>
      </w:r>
    </w:p>
    <w:p>
      <w:pPr>
        <w:spacing w:after="80"/>
      </w:pPr>
      <w:r>
        <w:t>You are an analyst in Harborline Life Insurance Company's structured credit team. On Oct 9, 2026 SG Americas Securities, the Initial Purchaser of the deal, offered the team $10.0M of the $20.0M Class C notes of Owl Rock CLO XXVI at 100.00 plus accrued interest, settling Oct 16, 2026 (HYPOTHETICAL). The notes are rated A (sf) by S&amp;P and pay three-month Term SOFR plus 2.20%.</w:t>
      </w:r>
    </w:p>
    <w:p>
      <w:pPr>
        <w:spacing w:after="80"/>
      </w:pPr>
      <w:r>
        <w:t>The Investment Committee meets on Oct 20, 2026. It wants an investment memo of 1,200–2,000 words with a recommendation (buy, buy with conditions, or pass), a hold size within the insurer's policy limits (Exhibit 6D), and the monitoring triggers you would put on the position. Support it with a quarterly cash-flow model of the Class C notes and a 5-slide deck. Answer the six questions in Section 9. Work from this packet and the data book only. Time budget: about 3–4 hours. No case-specific model, memo or deck templates exist yet; build your own model from the data book.</w:t>
      </w:r>
    </w:p>
    <w:p>
      <w:pPr>
        <w:pStyle w:val="Heading2"/>
      </w:pPr>
      <w:r>
        <w:t>1. Transaction summary</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611"/>
        <w:gridCol w:w="4748"/>
      </w:tblGrid>
      <w:tr>
        <w:tc>
          <w:tcPr>
            <w:tcW w:type="dxa" w:w="4612"/>
            <w:shd w:val="clear" w:color="auto" w:fill="E4EAF3"/>
          </w:tcPr>
          <w:p>
            <w:pPr>
              <w:spacing w:after="0"/>
            </w:pPr>
            <w:r>
              <w:rPr>
                <w:b/>
                <w:color w:val="121826"/>
                <w:sz w:val="17"/>
              </w:rPr>
              <w:t>Term</w:t>
            </w:r>
          </w:p>
        </w:tc>
        <w:tc>
          <w:tcPr>
            <w:tcW w:type="dxa" w:w="4748"/>
            <w:shd w:val="clear" w:color="auto" w:fill="E4EAF3"/>
          </w:tcPr>
          <w:p>
            <w:pPr>
              <w:spacing w:after="0"/>
            </w:pPr>
            <w:r>
              <w:rPr>
                <w:b/>
                <w:color w:val="121826"/>
                <w:sz w:val="17"/>
              </w:rPr>
              <w:t>Detail</w:t>
            </w:r>
          </w:p>
        </w:tc>
      </w:tr>
      <w:tr>
        <w:tc>
          <w:tcPr>
            <w:tcW w:type="dxa" w:w="4612"/>
          </w:tcPr>
          <w:p>
            <w:pPr>
              <w:spacing w:after="0"/>
            </w:pPr>
            <w:r>
              <w:rPr>
                <w:sz w:val="17"/>
              </w:rPr>
              <w:t>Issuer</w:t>
            </w:r>
          </w:p>
        </w:tc>
        <w:tc>
          <w:tcPr>
            <w:tcW w:type="dxa" w:w="4748"/>
          </w:tcPr>
          <w:p>
            <w:pPr>
              <w:spacing w:after="0"/>
            </w:pPr>
            <w:r>
              <w:rPr>
                <w:sz w:val="17"/>
              </w:rPr>
              <w:t>Owl Rock CLO XXVI, LLC (Delaware), a consolidated subsidiary of Blue Owl Capital Corporation (OBDC), a business development company (BDC)</w:t>
            </w:r>
          </w:p>
        </w:tc>
      </w:tr>
      <w:tr>
        <w:tc>
          <w:tcPr>
            <w:tcW w:type="dxa" w:w="4612"/>
          </w:tcPr>
          <w:p>
            <w:pPr>
              <w:spacing w:after="0"/>
            </w:pPr>
            <w:r>
              <w:rPr>
                <w:sz w:val="17"/>
              </w:rPr>
              <w:t>Collateral Manager</w:t>
            </w:r>
          </w:p>
        </w:tc>
        <w:tc>
          <w:tcPr>
            <w:tcW w:type="dxa" w:w="4748"/>
          </w:tcPr>
          <w:p>
            <w:pPr>
              <w:spacing w:after="0"/>
            </w:pPr>
            <w:r>
              <w:rPr>
                <w:sz w:val="17"/>
              </w:rPr>
              <w:t>Blue Owl Credit Advisors LLC, OBDC's investment adviser</w:t>
            </w:r>
          </w:p>
        </w:tc>
      </w:tr>
      <w:tr>
        <w:tc>
          <w:tcPr>
            <w:tcW w:type="dxa" w:w="4612"/>
          </w:tcPr>
          <w:p>
            <w:pPr>
              <w:spacing w:after="0"/>
            </w:pPr>
            <w:r>
              <w:rPr>
                <w:sz w:val="17"/>
              </w:rPr>
              <w:t>Seller and retention holder</w:t>
            </w:r>
          </w:p>
        </w:tc>
        <w:tc>
          <w:tcPr>
            <w:tcW w:type="dxa" w:w="4748"/>
          </w:tcPr>
          <w:p>
            <w:pPr>
              <w:spacing w:after="0"/>
            </w:pPr>
            <w:r>
              <w:rPr>
                <w:sz w:val="17"/>
              </w:rPr>
              <w:t>OBDC: sold or contributed the initial loans and bought all 106,150 Preferred Shares ($106.15M), retaining them under US and EU risk-retention rules</w:t>
            </w:r>
          </w:p>
        </w:tc>
      </w:tr>
      <w:tr>
        <w:tc>
          <w:tcPr>
            <w:tcW w:type="dxa" w:w="4612"/>
          </w:tcPr>
          <w:p>
            <w:pPr>
              <w:spacing w:after="0"/>
            </w:pPr>
            <w:r>
              <w:rPr>
                <w:sz w:val="17"/>
              </w:rPr>
              <w:t>Transaction</w:t>
            </w:r>
          </w:p>
        </w:tc>
        <w:tc>
          <w:tcPr>
            <w:tcW w:type="dxa" w:w="4748"/>
          </w:tcPr>
          <w:p>
            <w:pPr>
              <w:spacing w:after="0"/>
            </w:pPr>
            <w:r>
              <w:rPr>
                <w:sz w:val="17"/>
              </w:rPr>
              <w:t>$398.15M term debt securitization closed Sep 2, 2026: $292.0M of secured debt across five classes plus Preferred Shares</w:t>
            </w:r>
          </w:p>
        </w:tc>
      </w:tr>
      <w:tr>
        <w:tc>
          <w:tcPr>
            <w:tcW w:type="dxa" w:w="4612"/>
          </w:tcPr>
          <w:p>
            <w:pPr>
              <w:spacing w:after="0"/>
            </w:pPr>
            <w:r>
              <w:rPr>
                <w:sz w:val="17"/>
              </w:rPr>
              <w:t>Collateral</w:t>
            </w:r>
          </w:p>
        </w:tc>
        <w:tc>
          <w:tcPr>
            <w:tcW w:type="dxa" w:w="4748"/>
          </w:tcPr>
          <w:p>
            <w:pPr>
              <w:spacing w:after="0"/>
            </w:pPr>
            <w:r>
              <w:rPr>
                <w:sz w:val="17"/>
              </w:rPr>
              <w:t>Middle-market loans and participations; initial portfolio of about $362.067M funded par sold or contributed by OBDC, ramping to a Target Initial Par Amount of $400.0M by the Effective Date</w:t>
            </w:r>
          </w:p>
        </w:tc>
      </w:tr>
      <w:tr>
        <w:tc>
          <w:tcPr>
            <w:tcW w:type="dxa" w:w="4612"/>
          </w:tcPr>
          <w:p>
            <w:pPr>
              <w:spacing w:after="0"/>
            </w:pPr>
            <w:r>
              <w:rPr>
                <w:sz w:val="17"/>
              </w:rPr>
              <w:t>Security offered</w:t>
            </w:r>
          </w:p>
        </w:tc>
        <w:tc>
          <w:tcPr>
            <w:tcW w:type="dxa" w:w="4748"/>
          </w:tcPr>
          <w:p>
            <w:pPr>
              <w:spacing w:after="0"/>
            </w:pPr>
            <w:r>
              <w:rPr>
                <w:sz w:val="17"/>
              </w:rPr>
              <w:t>$10.0M of the $20.0M Class C Notes, A (sf) (S&amp;P), three-month Term SOFR + 2.20% (coupon 6.23887% at 3M Term SOFR of 4.03887% on Oct 9, 2026, CME via global-rates.com [RATE-2]), interest deferrable</w:t>
            </w:r>
          </w:p>
        </w:tc>
      </w:tr>
      <w:tr>
        <w:tc>
          <w:tcPr>
            <w:tcW w:type="dxa" w:w="4612"/>
          </w:tcPr>
          <w:p>
            <w:pPr>
              <w:spacing w:after="0"/>
            </w:pPr>
            <w:r>
              <w:rPr>
                <w:sz w:val="17"/>
              </w:rPr>
              <w:t>Offer</w:t>
            </w:r>
          </w:p>
        </w:tc>
        <w:tc>
          <w:tcPr>
            <w:tcW w:type="dxa" w:w="4748"/>
          </w:tcPr>
          <w:p>
            <w:pPr>
              <w:spacing w:after="0"/>
            </w:pPr>
            <w:r>
              <w:rPr>
                <w:sz w:val="17"/>
              </w:rPr>
              <w:t>100.00 plus accrued interest from Sep 2, 2026; settlement Oct 16, 2026 (HYPOTHETICAL)</w:t>
            </w:r>
          </w:p>
        </w:tc>
      </w:tr>
      <w:tr>
        <w:tc>
          <w:tcPr>
            <w:tcW w:type="dxa" w:w="4612"/>
          </w:tcPr>
          <w:p>
            <w:pPr>
              <w:spacing w:after="0"/>
            </w:pPr>
            <w:r>
              <w:rPr>
                <w:sz w:val="17"/>
              </w:rPr>
              <w:t>Key dates</w:t>
            </w:r>
          </w:p>
        </w:tc>
        <w:tc>
          <w:tcPr>
            <w:tcW w:type="dxa" w:w="4748"/>
          </w:tcPr>
          <w:p>
            <w:pPr>
              <w:spacing w:after="0"/>
            </w:pPr>
            <w:r>
              <w:rPr>
                <w:sz w:val="17"/>
              </w:rPr>
              <w:t>Non-Call Period ends with the Payment Date in Jul 2028; Reinvestment Period ends with the Payment Date in Jul 2030; Stated Maturity is the Payment Date in Jul 2038</w:t>
            </w:r>
          </w:p>
        </w:tc>
      </w:tr>
      <w:tr>
        <w:tc>
          <w:tcPr>
            <w:tcW w:type="dxa" w:w="4612"/>
          </w:tcPr>
          <w:p>
            <w:pPr>
              <w:spacing w:after="0"/>
            </w:pPr>
            <w:r>
              <w:rPr>
                <w:sz w:val="17"/>
              </w:rPr>
              <w:t>Use of proceeds (to OBDC)</w:t>
            </w:r>
          </w:p>
        </w:tc>
        <w:tc>
          <w:tcPr>
            <w:tcW w:type="dxa" w:w="4748"/>
          </w:tcPr>
          <w:p>
            <w:pPr>
              <w:spacing w:after="0"/>
            </w:pPr>
            <w:r>
              <w:rPr>
                <w:sz w:val="17"/>
              </w:rPr>
              <w:t>General corporate purposes, net of fees and expenses (8-K)</w:t>
            </w:r>
          </w:p>
        </w:tc>
      </w:tr>
    </w:tbl>
    <w:p>
      <w:pPr>
        <w:spacing w:after="40"/>
      </w:pPr>
    </w:p>
    <w:p>
      <w:r>
        <w:rPr>
          <w:i/>
          <w:color w:val="5B6475"/>
          <w:sz w:val="16"/>
        </w:rPr>
        <w:t>Source: OBDC Form 8-K dated Sep 2, 2026 (filed Sep 8, 2026), Item 1.01; Indenture Section 2.3 and definitions. Exhibit 1.</w:t>
      </w:r>
    </w:p>
    <w:p>
      <w:pPr>
        <w:pStyle w:val="Heading2"/>
      </w:pPr>
      <w:r>
        <w:t>2. Manager and collateral overview</w:t>
      </w:r>
    </w:p>
    <w:p>
      <w:pPr>
        <w:spacing w:after="80"/>
      </w:pPr>
      <w:r>
        <w:rPr>
          <w:b/>
        </w:rPr>
        <w:t>The manager.</w:t>
      </w:r>
      <w:r>
        <w:t xml:space="preserve"> Blue Owl Credit Advisors LLC manages OBDC, one of the largest US BDCs, with $14,955.0M of investments at fair value in 229 portfolio companies at Jun 30, 2026. OBDC lends mainly to sponsor-backed US middle-market companies: 73.2% of the portfolio was first-lien senior secured debt (Item 2 basis), 52% of first-lien loans were unitranche, and 96.0% of debt investments paid floating rates. The weighted average spread on floating-rate debt was 5.6% at Jun 30, 2026, down from 6.8% in 2023 (Exhibit 5). OBDC merged with its sister BDC, OBDE, on Jan 13, 2025. OBDC already finances part of its book through a series of Owl Rock CLOs; Exhibit 6B lists six earlier deals and refinancings with their spreads.</w:t>
      </w:r>
    </w:p>
    <w:p>
      <w:pPr>
        <w:spacing w:after="80"/>
      </w:pPr>
      <w:r>
        <w:rPr>
          <w:b/>
        </w:rPr>
        <w:t>The collateral.</w:t>
      </w:r>
      <w:r>
        <w:t xml:space="preserve"> At closing OBDC sold or contributed about $362.067M funded par of middle-market loans to the Issuer. The 8-K does not disclose the price, and OBDC recognized no gain or loss on the sale. During the ramp-up the Issuer buys more loans, from OBDC or others, to reach $400.0M of par by the Effective Date (no later than Dec 20, 2026). Until Jul 2030 the Collateral Manager can reinvest principal proceeds, subject to the Eligibility Criteria, the Concentration Limitations and the Collateral Quality Tests (Exhibit 2D and 2E). At least 90% must be senior secured loans and eligible investments, with no more than 20% S&amp;P CCC obligations and no more than 3% in one obligor.</w:t>
      </w:r>
    </w:p>
    <w:p>
      <w:pPr>
        <w:spacing w:after="80"/>
      </w:pPr>
      <w:r>
        <w:rPr>
          <w:b/>
        </w:rPr>
        <w:t>What you can and cannot see.</w:t>
      </w:r>
      <w:r>
        <w:t xml:space="preserve"> The loan-level schedule was not filed. The best public view of what the CLO holds is OBDC's own book, from which the initial loans came (Exhibit 3). The proxy is imperfect. OBDC also holds second-lien loans, equity, joint ventures and specialty-finance assets that the CLO cannot hold. Its industry labels are not S&amp;P Industry Classifications. And the CLO's loans may be a selected subset.</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5180"/>
        <w:gridCol w:w="2089"/>
        <w:gridCol w:w="2089"/>
      </w:tblGrid>
      <w:tr>
        <w:tc>
          <w:tcPr>
            <w:tcW w:type="dxa" w:w="5181"/>
            <w:shd w:val="clear" w:color="auto" w:fill="E4EAF3"/>
          </w:tcPr>
          <w:p>
            <w:pPr>
              <w:spacing w:after="0"/>
            </w:pPr>
            <w:r>
              <w:rPr>
                <w:b/>
                <w:color w:val="121826"/>
                <w:sz w:val="17"/>
              </w:rPr>
              <w:t>Collateral proxy: OBDC portfolio</w:t>
            </w:r>
          </w:p>
        </w:tc>
        <w:tc>
          <w:tcPr>
            <w:tcW w:type="dxa" w:w="2090"/>
            <w:shd w:val="clear" w:color="auto" w:fill="E4EAF3"/>
          </w:tcPr>
          <w:p>
            <w:pPr>
              <w:spacing w:after="0"/>
            </w:pPr>
            <w:r>
              <w:rPr>
                <w:b/>
                <w:color w:val="121826"/>
                <w:sz w:val="17"/>
              </w:rPr>
              <w:t>Jun 30, 2026</w:t>
            </w:r>
          </w:p>
        </w:tc>
        <w:tc>
          <w:tcPr>
            <w:tcW w:type="dxa" w:w="2090"/>
            <w:shd w:val="clear" w:color="auto" w:fill="E4EAF3"/>
          </w:tcPr>
          <w:p>
            <w:pPr>
              <w:spacing w:after="0"/>
            </w:pPr>
            <w:r>
              <w:rPr>
                <w:b/>
                <w:color w:val="121826"/>
                <w:sz w:val="17"/>
              </w:rPr>
              <w:t>Dec 31, 2025</w:t>
            </w:r>
          </w:p>
        </w:tc>
      </w:tr>
      <w:tr>
        <w:tc>
          <w:tcPr>
            <w:tcW w:type="dxa" w:w="5181"/>
          </w:tcPr>
          <w:p>
            <w:pPr>
              <w:spacing w:after="0"/>
            </w:pPr>
            <w:r>
              <w:rPr>
                <w:sz w:val="17"/>
              </w:rPr>
              <w:t>First-lien senior secured debt, fair value ($M)</w:t>
            </w:r>
          </w:p>
        </w:tc>
        <w:tc>
          <w:tcPr>
            <w:tcW w:type="dxa" w:w="2090"/>
          </w:tcPr>
          <w:p>
            <w:pPr>
              <w:spacing w:after="0"/>
              <w:jc w:val="right"/>
            </w:pPr>
            <w:r>
              <w:rPr>
                <w:sz w:val="17"/>
              </w:rPr>
              <w:t>$10,937.8</w:t>
            </w:r>
          </w:p>
        </w:tc>
        <w:tc>
          <w:tcPr>
            <w:tcW w:type="dxa" w:w="2090"/>
          </w:tcPr>
          <w:p>
            <w:pPr>
              <w:spacing w:after="0"/>
              <w:jc w:val="right"/>
            </w:pPr>
            <w:r>
              <w:rPr>
                <w:sz w:val="17"/>
              </w:rPr>
              <w:t>$12,048.9</w:t>
            </w:r>
          </w:p>
        </w:tc>
      </w:tr>
      <w:tr>
        <w:tc>
          <w:tcPr>
            <w:tcW w:type="dxa" w:w="5181"/>
          </w:tcPr>
          <w:p>
            <w:pPr>
              <w:spacing w:after="0"/>
            </w:pPr>
            <w:r>
              <w:rPr>
                <w:sz w:val="17"/>
              </w:rPr>
              <w:t>Second-lien senior secured debt, fair value ($M)</w:t>
            </w:r>
          </w:p>
        </w:tc>
        <w:tc>
          <w:tcPr>
            <w:tcW w:type="dxa" w:w="2090"/>
          </w:tcPr>
          <w:p>
            <w:pPr>
              <w:spacing w:after="0"/>
              <w:jc w:val="right"/>
            </w:pPr>
            <w:r>
              <w:rPr>
                <w:sz w:val="17"/>
              </w:rPr>
              <w:t>$674.2</w:t>
            </w:r>
          </w:p>
        </w:tc>
        <w:tc>
          <w:tcPr>
            <w:tcW w:type="dxa" w:w="2090"/>
          </w:tcPr>
          <w:p>
            <w:pPr>
              <w:spacing w:after="0"/>
              <w:jc w:val="right"/>
            </w:pPr>
            <w:r>
              <w:rPr>
                <w:sz w:val="17"/>
              </w:rPr>
              <w:t>$848.6</w:t>
            </w:r>
          </w:p>
        </w:tc>
      </w:tr>
      <w:tr>
        <w:tc>
          <w:tcPr>
            <w:tcW w:type="dxa" w:w="5181"/>
          </w:tcPr>
          <w:p>
            <w:pPr>
              <w:spacing w:after="0"/>
            </w:pPr>
            <w:r>
              <w:rPr>
                <w:sz w:val="17"/>
              </w:rPr>
              <w:t>Unsecured debt, fair value ($M)</w:t>
            </w:r>
          </w:p>
        </w:tc>
        <w:tc>
          <w:tcPr>
            <w:tcW w:type="dxa" w:w="2090"/>
          </w:tcPr>
          <w:p>
            <w:pPr>
              <w:spacing w:after="0"/>
              <w:jc w:val="right"/>
            </w:pPr>
            <w:r>
              <w:rPr>
                <w:sz w:val="17"/>
              </w:rPr>
              <w:t>$377.2</w:t>
            </w:r>
          </w:p>
        </w:tc>
        <w:tc>
          <w:tcPr>
            <w:tcW w:type="dxa" w:w="2090"/>
          </w:tcPr>
          <w:p>
            <w:pPr>
              <w:spacing w:after="0"/>
              <w:jc w:val="right"/>
            </w:pPr>
            <w:r>
              <w:rPr>
                <w:sz w:val="17"/>
              </w:rPr>
              <w:t>$400.0</w:t>
            </w:r>
          </w:p>
        </w:tc>
      </w:tr>
      <w:tr>
        <w:tc>
          <w:tcPr>
            <w:tcW w:type="dxa" w:w="5181"/>
          </w:tcPr>
          <w:p>
            <w:pPr>
              <w:spacing w:after="0"/>
            </w:pPr>
            <w:r>
              <w:rPr>
                <w:sz w:val="17"/>
              </w:rPr>
              <w:t>Total investments at fair value ($M)</w:t>
            </w:r>
          </w:p>
        </w:tc>
        <w:tc>
          <w:tcPr>
            <w:tcW w:type="dxa" w:w="2090"/>
          </w:tcPr>
          <w:p>
            <w:pPr>
              <w:spacing w:after="0"/>
              <w:jc w:val="right"/>
            </w:pPr>
            <w:r>
              <w:rPr>
                <w:sz w:val="17"/>
              </w:rPr>
              <w:t>$14,955.0</w:t>
            </w:r>
          </w:p>
        </w:tc>
        <w:tc>
          <w:tcPr>
            <w:tcW w:type="dxa" w:w="2090"/>
          </w:tcPr>
          <w:p>
            <w:pPr>
              <w:spacing w:after="0"/>
              <w:jc w:val="right"/>
            </w:pPr>
            <w:r>
              <w:rPr>
                <w:sz w:val="17"/>
              </w:rPr>
              <w:t>$16,470.9</w:t>
            </w:r>
          </w:p>
        </w:tc>
      </w:tr>
      <w:tr>
        <w:tc>
          <w:tcPr>
            <w:tcW w:type="dxa" w:w="5181"/>
          </w:tcPr>
          <w:p>
            <w:pPr>
              <w:spacing w:after="0"/>
            </w:pPr>
            <w:r>
              <w:rPr>
                <w:sz w:val="17"/>
              </w:rPr>
              <w:t>Non-accrual investments at amortized cost ($M)</w:t>
            </w:r>
          </w:p>
        </w:tc>
        <w:tc>
          <w:tcPr>
            <w:tcW w:type="dxa" w:w="2090"/>
          </w:tcPr>
          <w:p>
            <w:pPr>
              <w:spacing w:after="0"/>
              <w:jc w:val="right"/>
            </w:pPr>
            <w:r>
              <w:rPr>
                <w:sz w:val="17"/>
              </w:rPr>
              <w:t>$428.7</w:t>
            </w:r>
          </w:p>
        </w:tc>
        <w:tc>
          <w:tcPr>
            <w:tcW w:type="dxa" w:w="2090"/>
          </w:tcPr>
          <w:p>
            <w:pPr>
              <w:spacing w:after="0"/>
              <w:jc w:val="right"/>
            </w:pPr>
            <w:r>
              <w:rPr>
                <w:sz w:val="17"/>
              </w:rPr>
              <w:t>$375.9</w:t>
            </w:r>
          </w:p>
        </w:tc>
      </w:tr>
      <w:tr>
        <w:tc>
          <w:tcPr>
            <w:tcW w:type="dxa" w:w="5181"/>
          </w:tcPr>
          <w:p>
            <w:pPr>
              <w:spacing w:after="0"/>
            </w:pPr>
            <w:r>
              <w:rPr>
                <w:sz w:val="17"/>
              </w:rPr>
              <w:t>Non-accrual, share of total investments at amortized cost</w:t>
            </w:r>
          </w:p>
        </w:tc>
        <w:tc>
          <w:tcPr>
            <w:tcW w:type="dxa" w:w="2090"/>
          </w:tcPr>
          <w:p>
            <w:pPr>
              <w:spacing w:after="0"/>
              <w:jc w:val="right"/>
            </w:pPr>
            <w:r>
              <w:rPr>
                <w:sz w:val="17"/>
              </w:rPr>
              <w:t>2.8%</w:t>
            </w:r>
          </w:p>
        </w:tc>
        <w:tc>
          <w:tcPr>
            <w:tcW w:type="dxa" w:w="2090"/>
          </w:tcPr>
          <w:p>
            <w:pPr>
              <w:spacing w:after="0"/>
              <w:jc w:val="right"/>
            </w:pPr>
            <w:r>
              <w:rPr>
                <w:sz w:val="17"/>
              </w:rPr>
              <w:t>2.3%</w:t>
            </w:r>
          </w:p>
        </w:tc>
      </w:tr>
      <w:tr>
        <w:tc>
          <w:tcPr>
            <w:tcW w:type="dxa" w:w="5181"/>
          </w:tcPr>
          <w:p>
            <w:pPr>
              <w:spacing w:after="0"/>
            </w:pPr>
            <w:r>
              <w:rPr>
                <w:sz w:val="17"/>
              </w:rPr>
              <w:t>Investments rated 4 or 5 by OBDC, share of fair value</w:t>
            </w:r>
          </w:p>
        </w:tc>
        <w:tc>
          <w:tcPr>
            <w:tcW w:type="dxa" w:w="2090"/>
          </w:tcPr>
          <w:p>
            <w:pPr>
              <w:spacing w:after="0"/>
              <w:jc w:val="right"/>
            </w:pPr>
            <w:r>
              <w:rPr>
                <w:sz w:val="17"/>
              </w:rPr>
              <w:t>1.1%</w:t>
            </w:r>
          </w:p>
        </w:tc>
        <w:tc>
          <w:tcPr>
            <w:tcW w:type="dxa" w:w="2090"/>
          </w:tcPr>
          <w:p>
            <w:pPr>
              <w:spacing w:after="0"/>
              <w:jc w:val="right"/>
            </w:pPr>
            <w:r>
              <w:rPr>
                <w:sz w:val="17"/>
              </w:rPr>
              <w:t>1.4%</w:t>
            </w:r>
          </w:p>
        </w:tc>
      </w:tr>
      <w:tr>
        <w:tc>
          <w:tcPr>
            <w:tcW w:type="dxa" w:w="5181"/>
          </w:tcPr>
          <w:p>
            <w:pPr>
              <w:spacing w:after="0"/>
            </w:pPr>
            <w:r>
              <w:rPr>
                <w:sz w:val="17"/>
              </w:rPr>
              <w:t>Largest industry: internet software and services, share of fair value</w:t>
            </w:r>
          </w:p>
        </w:tc>
        <w:tc>
          <w:tcPr>
            <w:tcW w:type="dxa" w:w="2090"/>
          </w:tcPr>
          <w:p>
            <w:pPr>
              <w:spacing w:after="0"/>
              <w:jc w:val="right"/>
            </w:pPr>
            <w:r>
              <w:rPr>
                <w:sz w:val="17"/>
              </w:rPr>
              <w:t>11.6%</w:t>
            </w:r>
          </w:p>
        </w:tc>
        <w:tc>
          <w:tcPr>
            <w:tcW w:type="dxa" w:w="2090"/>
          </w:tcPr>
          <w:p>
            <w:pPr>
              <w:spacing w:after="0"/>
              <w:jc w:val="right"/>
            </w:pPr>
            <w:r>
              <w:rPr>
                <w:sz w:val="17"/>
              </w:rPr>
              <w:t>11.1%</w:t>
            </w:r>
          </w:p>
        </w:tc>
      </w:tr>
      <w:tr>
        <w:tc>
          <w:tcPr>
            <w:tcW w:type="dxa" w:w="5181"/>
          </w:tcPr>
          <w:p>
            <w:pPr>
              <w:spacing w:after="0"/>
            </w:pPr>
            <w:r>
              <w:rPr>
                <w:sz w:val="17"/>
              </w:rPr>
              <w:t>Weighted average total yield on fair value</w:t>
            </w:r>
          </w:p>
        </w:tc>
        <w:tc>
          <w:tcPr>
            <w:tcW w:type="dxa" w:w="2090"/>
          </w:tcPr>
          <w:p>
            <w:pPr>
              <w:spacing w:after="0"/>
              <w:jc w:val="right"/>
            </w:pPr>
            <w:r>
              <w:rPr>
                <w:sz w:val="17"/>
              </w:rPr>
              <w:t>9.5%</w:t>
            </w:r>
          </w:p>
        </w:tc>
        <w:tc>
          <w:tcPr>
            <w:tcW w:type="dxa" w:w="2090"/>
          </w:tcPr>
          <w:p>
            <w:pPr>
              <w:spacing w:after="0"/>
              <w:jc w:val="right"/>
            </w:pPr>
            <w:r>
              <w:rPr>
                <w:sz w:val="17"/>
              </w:rPr>
              <w:t>n/d</w:t>
            </w:r>
          </w:p>
        </w:tc>
      </w:tr>
      <w:tr>
        <w:tc>
          <w:tcPr>
            <w:tcW w:type="dxa" w:w="5181"/>
          </w:tcPr>
          <w:p>
            <w:pPr>
              <w:spacing w:after="0"/>
            </w:pPr>
            <w:r>
              <w:rPr>
                <w:sz w:val="17"/>
              </w:rPr>
              <w:t>PIK income, share of total investment income (6M Jun-26)</w:t>
            </w:r>
          </w:p>
        </w:tc>
        <w:tc>
          <w:tcPr>
            <w:tcW w:type="dxa" w:w="2090"/>
          </w:tcPr>
          <w:p>
            <w:pPr>
              <w:spacing w:after="0"/>
              <w:jc w:val="right"/>
            </w:pPr>
            <w:r>
              <w:rPr>
                <w:sz w:val="17"/>
              </w:rPr>
              <w:t>11.2%</w:t>
            </w:r>
          </w:p>
        </w:tc>
        <w:tc>
          <w:tcPr>
            <w:tcW w:type="dxa" w:w="2090"/>
          </w:tcPr>
          <w:p>
            <w:pPr>
              <w:spacing w:after="0"/>
              <w:jc w:val="right"/>
            </w:pPr>
            <w:r>
              <w:rPr>
                <w:sz w:val="17"/>
              </w:rPr>
              <w:t>n/a</w:t>
            </w:r>
          </w:p>
        </w:tc>
      </w:tr>
    </w:tbl>
    <w:p>
      <w:pPr>
        <w:spacing w:after="40"/>
      </w:pPr>
    </w:p>
    <w:p>
      <w:r>
        <w:rPr>
          <w:i/>
          <w:color w:val="5B6475"/>
          <w:sz w:val="16"/>
        </w:rPr>
        <w:t>Source: OBDC Form 10-Q Q2-2026 (filed Aug 5, 2026), Note 4 and Item 2; Form 10-K FY2025. Full tables in Exhibit 3. Non-accrual basis: total investments at amortized cost (OBDC changed basis in Q1-2026; see Exhibit 5).</w:t>
      </w:r>
    </w:p>
    <w:p>
      <w:pPr>
        <w:pStyle w:val="Heading2"/>
      </w:pPr>
      <w:r>
        <w:t>3. Market: middle-market CLOs and insurer capital</w:t>
      </w:r>
    </w:p>
    <w:p>
      <w:pPr>
        <w:spacing w:after="80"/>
      </w:pPr>
      <w:r>
        <w:t>US CLO issuance stayed heavy into the autumn. Middle-market CLO issuance reached $6.8bn across 15 deals in Sep 2026, the highest month of the year, and new-issue broadly syndicated (BSL) AAA spreads averaged 1.22% (refinancings and resets 1.16%) [CLO-1 to CLO-3]. New deals carried a 1.98-year non-call and a 5.00-year reinvestment period on average [CLO-4, CLO-5]. No public source gives a verified middle-market AA or A spread level for Sep 2026. Pricing evidence for this tranche therefore comes from the deal itself and from OBDC's own earlier CLOs (Exhibit 6B): OBDC priced a single-A class at S+4.25% in Jan 2024; its AAA spreads have since tightened from S+2.40% to S+1.39%–1.48%.</w:t>
      </w:r>
    </w:p>
    <w:p>
      <w:pPr>
        <w:spacing w:after="80"/>
      </w:pPr>
      <w:r>
        <w:t>Collateral credit is mixed. Middle-market private credit spreads have compressed: the Fed puts the 2025-issuance median at about 5.00% for small private-credit borrowers [PC-1], and Valuation Research quotes traditional middle-market unitranche at S+475–575 in Q3 2026 [PC-2]. Default measures differ by definition: Fitch's US private credit default rate was 6.3% in Aug 2026, while the Proskauer Private Credit Default Index was 2.51% in Q2 2026; each uses its own definition and sample [DEF-2, DEF-3]. For comparison, the S&amp;P/LSTA leveraged loan default rate peaked at 10.81% in Nov 2009 [DEF-1]. The Fed raised the target range by 25bp to 3.75%–4.00% on Sep 16, 2026 [RATE-3].</w:t>
      </w:r>
    </w:p>
    <w:p>
      <w:pPr>
        <w:spacing w:after="80"/>
      </w:pPr>
      <w:r>
        <w:t>Insurer capital for CLOs changes at year-end. The NAIC adopted CLO-specific Life RBC C-1 factors (Proposal 2026-12-IRE MOD) at the Financial Condition (E) Committee on Jul 8, 2026, effective for Dec 31, 2026 RBC filings. Senior CLO tranches get lower factors than corporate bonds of the same designation, and lower-rated tranches much higher ones (Exhibit 6C). Designations stay rating-based, but the NAIC's Investment Analysis Office can now challenge filing-exempt designations.</w:t>
      </w:r>
    </w:p>
    <w:p>
      <w:r>
        <w:rPr>
          <w:i/>
          <w:color w:val="5B6475"/>
          <w:sz w:val="16"/>
        </w:rPr>
        <w:t>Source: Trepp, September 2026 CLO Snapshot (Oct 9, 2026); Federal Reserve FEDS Note (Aug 11, 2026); VRC Private Credit Trends Q3 2026; Kadenwood; PitchBook LCD; FOMC (Sep 16, 2026); NAIC; Mayer Brown (Jul 13, 2026). Exhibit 6.</w:t>
      </w:r>
    </w:p>
    <w:p>
      <w:pPr>
        <w:pStyle w:val="Heading2"/>
      </w:pPr>
      <w:r>
        <w:t>4. Manager financials and portfolio performance</w:t>
      </w:r>
    </w:p>
    <w:p>
      <w:pPr>
        <w:spacing w:after="80"/>
      </w:pPr>
      <w:r>
        <w:t>OBDC is the seller of the loans, the holder of all the equity and the client of the Collateral Manager. Its results show the health of the platform behind the collateral.</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736"/>
        <w:gridCol w:w="1103"/>
        <w:gridCol w:w="1103"/>
        <w:gridCol w:w="1103"/>
        <w:gridCol w:w="1103"/>
        <w:gridCol w:w="1103"/>
        <w:gridCol w:w="1103"/>
      </w:tblGrid>
      <w:tr>
        <w:tc>
          <w:tcPr>
            <w:tcW w:type="dxa" w:w="2737"/>
            <w:shd w:val="clear" w:color="auto" w:fill="E4EAF3"/>
          </w:tcPr>
          <w:p>
            <w:pPr>
              <w:spacing w:after="0"/>
            </w:pPr>
            <w:r>
              <w:rPr>
                <w:b/>
                <w:color w:val="121826"/>
                <w:sz w:val="15"/>
              </w:rPr>
              <w:t>OBDC statement of operations ($M; FYE Dec 31)</w:t>
            </w:r>
          </w:p>
        </w:tc>
        <w:tc>
          <w:tcPr>
            <w:tcW w:type="dxa" w:w="1104"/>
            <w:shd w:val="clear" w:color="auto" w:fill="E4EAF3"/>
          </w:tcPr>
          <w:p>
            <w:pPr>
              <w:spacing w:after="0"/>
            </w:pPr>
            <w:r>
              <w:rPr>
                <w:b/>
                <w:color w:val="121826"/>
                <w:sz w:val="15"/>
              </w:rPr>
              <w:t>FY2023</w:t>
            </w:r>
          </w:p>
        </w:tc>
        <w:tc>
          <w:tcPr>
            <w:tcW w:type="dxa" w:w="1104"/>
            <w:shd w:val="clear" w:color="auto" w:fill="E4EAF3"/>
          </w:tcPr>
          <w:p>
            <w:pPr>
              <w:spacing w:after="0"/>
            </w:pPr>
            <w:r>
              <w:rPr>
                <w:b/>
                <w:color w:val="121826"/>
                <w:sz w:val="15"/>
              </w:rPr>
              <w:t>FY2024</w:t>
            </w:r>
          </w:p>
        </w:tc>
        <w:tc>
          <w:tcPr>
            <w:tcW w:type="dxa" w:w="1104"/>
            <w:shd w:val="clear" w:color="auto" w:fill="E4EAF3"/>
          </w:tcPr>
          <w:p>
            <w:pPr>
              <w:spacing w:after="0"/>
            </w:pPr>
            <w:r>
              <w:rPr>
                <w:b/>
                <w:color w:val="121826"/>
                <w:sz w:val="15"/>
              </w:rPr>
              <w:t>FY2025</w:t>
            </w:r>
          </w:p>
        </w:tc>
        <w:tc>
          <w:tcPr>
            <w:tcW w:type="dxa" w:w="1104"/>
            <w:shd w:val="clear" w:color="auto" w:fill="E4EAF3"/>
          </w:tcPr>
          <w:p>
            <w:pPr>
              <w:spacing w:after="0"/>
            </w:pPr>
            <w:r>
              <w:rPr>
                <w:b/>
                <w:color w:val="121826"/>
                <w:sz w:val="15"/>
              </w:rPr>
              <w:t>6M Jun-25</w:t>
            </w:r>
          </w:p>
        </w:tc>
        <w:tc>
          <w:tcPr>
            <w:tcW w:type="dxa" w:w="1104"/>
            <w:shd w:val="clear" w:color="auto" w:fill="E4EAF3"/>
          </w:tcPr>
          <w:p>
            <w:pPr>
              <w:spacing w:after="0"/>
            </w:pPr>
            <w:r>
              <w:rPr>
                <w:b/>
                <w:color w:val="121826"/>
                <w:sz w:val="15"/>
              </w:rPr>
              <w:t>6M Jun-26</w:t>
            </w:r>
          </w:p>
        </w:tc>
        <w:tc>
          <w:tcPr>
            <w:tcW w:type="dxa" w:w="1104"/>
            <w:shd w:val="clear" w:color="auto" w:fill="E4EAF3"/>
          </w:tcPr>
          <w:p>
            <w:pPr>
              <w:spacing w:after="0"/>
            </w:pPr>
            <w:r>
              <w:rPr>
                <w:b/>
                <w:color w:val="121826"/>
                <w:sz w:val="15"/>
              </w:rPr>
              <w:t>LTM Jun-26</w:t>
            </w:r>
          </w:p>
        </w:tc>
      </w:tr>
      <w:tr>
        <w:tc>
          <w:tcPr>
            <w:tcW w:type="dxa" w:w="2737"/>
          </w:tcPr>
          <w:p>
            <w:pPr>
              <w:spacing w:after="0"/>
            </w:pPr>
            <w:r>
              <w:rPr>
                <w:sz w:val="15"/>
              </w:rPr>
              <w:t>Total investment income</w:t>
            </w:r>
          </w:p>
        </w:tc>
        <w:tc>
          <w:tcPr>
            <w:tcW w:type="dxa" w:w="1104"/>
          </w:tcPr>
          <w:p>
            <w:pPr>
              <w:spacing w:after="0"/>
              <w:jc w:val="right"/>
            </w:pPr>
            <w:r>
              <w:rPr>
                <w:sz w:val="15"/>
              </w:rPr>
              <w:t>1,582.1</w:t>
            </w:r>
          </w:p>
        </w:tc>
        <w:tc>
          <w:tcPr>
            <w:tcW w:type="dxa" w:w="1104"/>
          </w:tcPr>
          <w:p>
            <w:pPr>
              <w:spacing w:after="0"/>
              <w:jc w:val="right"/>
            </w:pPr>
            <w:r>
              <w:rPr>
                <w:sz w:val="15"/>
              </w:rPr>
              <w:t>1,596.8</w:t>
            </w:r>
          </w:p>
        </w:tc>
        <w:tc>
          <w:tcPr>
            <w:tcW w:type="dxa" w:w="1104"/>
          </w:tcPr>
          <w:p>
            <w:pPr>
              <w:spacing w:after="0"/>
              <w:jc w:val="right"/>
            </w:pPr>
            <w:r>
              <w:rPr>
                <w:sz w:val="15"/>
              </w:rPr>
              <w:t>1,851.3</w:t>
            </w:r>
          </w:p>
        </w:tc>
        <w:tc>
          <w:tcPr>
            <w:tcW w:type="dxa" w:w="1104"/>
          </w:tcPr>
          <w:p>
            <w:pPr>
              <w:spacing w:after="0"/>
              <w:jc w:val="right"/>
            </w:pPr>
            <w:r>
              <w:rPr>
                <w:sz w:val="15"/>
              </w:rPr>
              <w:t>950.5</w:t>
            </w:r>
          </w:p>
        </w:tc>
        <w:tc>
          <w:tcPr>
            <w:tcW w:type="dxa" w:w="1104"/>
          </w:tcPr>
          <w:p>
            <w:pPr>
              <w:spacing w:after="0"/>
              <w:jc w:val="right"/>
            </w:pPr>
            <w:r>
              <w:rPr>
                <w:sz w:val="15"/>
              </w:rPr>
              <w:t>798.1</w:t>
            </w:r>
          </w:p>
        </w:tc>
        <w:tc>
          <w:tcPr>
            <w:tcW w:type="dxa" w:w="1104"/>
          </w:tcPr>
          <w:p>
            <w:pPr>
              <w:spacing w:after="0"/>
              <w:jc w:val="right"/>
            </w:pPr>
            <w:r>
              <w:rPr>
                <w:sz w:val="15"/>
              </w:rPr>
              <w:t>1,698.9</w:t>
            </w:r>
          </w:p>
        </w:tc>
      </w:tr>
      <w:tr>
        <w:tc>
          <w:tcPr>
            <w:tcW w:type="dxa" w:w="2737"/>
          </w:tcPr>
          <w:p>
            <w:pPr>
              <w:spacing w:after="0"/>
            </w:pPr>
            <w:r>
              <w:rPr>
                <w:sz w:val="15"/>
              </w:rPr>
              <w:t>Interest expense</w:t>
            </w:r>
          </w:p>
        </w:tc>
        <w:tc>
          <w:tcPr>
            <w:tcW w:type="dxa" w:w="1104"/>
          </w:tcPr>
          <w:p>
            <w:pPr>
              <w:spacing w:after="0"/>
              <w:jc w:val="right"/>
            </w:pPr>
            <w:r>
              <w:rPr>
                <w:sz w:val="15"/>
              </w:rPr>
              <w:t>436.3</w:t>
            </w:r>
          </w:p>
        </w:tc>
        <w:tc>
          <w:tcPr>
            <w:tcW w:type="dxa" w:w="1104"/>
          </w:tcPr>
          <w:p>
            <w:pPr>
              <w:spacing w:after="0"/>
              <w:jc w:val="right"/>
            </w:pPr>
            <w:r>
              <w:rPr>
                <w:sz w:val="15"/>
              </w:rPr>
              <w:t>464.9</w:t>
            </w:r>
          </w:p>
        </w:tc>
        <w:tc>
          <w:tcPr>
            <w:tcW w:type="dxa" w:w="1104"/>
          </w:tcPr>
          <w:p>
            <w:pPr>
              <w:spacing w:after="0"/>
              <w:jc w:val="right"/>
            </w:pPr>
            <w:r>
              <w:rPr>
                <w:sz w:val="15"/>
              </w:rPr>
              <w:t>595.8</w:t>
            </w:r>
          </w:p>
        </w:tc>
        <w:tc>
          <w:tcPr>
            <w:tcW w:type="dxa" w:w="1104"/>
          </w:tcPr>
          <w:p>
            <w:pPr>
              <w:spacing w:after="0"/>
              <w:jc w:val="right"/>
            </w:pPr>
            <w:r>
              <w:rPr>
                <w:sz w:val="15"/>
              </w:rPr>
              <w:t>300.1</w:t>
            </w:r>
          </w:p>
        </w:tc>
        <w:tc>
          <w:tcPr>
            <w:tcW w:type="dxa" w:w="1104"/>
          </w:tcPr>
          <w:p>
            <w:pPr>
              <w:spacing w:after="0"/>
              <w:jc w:val="right"/>
            </w:pPr>
            <w:r>
              <w:rPr>
                <w:sz w:val="15"/>
              </w:rPr>
              <w:t>257.3</w:t>
            </w:r>
          </w:p>
        </w:tc>
        <w:tc>
          <w:tcPr>
            <w:tcW w:type="dxa" w:w="1104"/>
          </w:tcPr>
          <w:p>
            <w:pPr>
              <w:spacing w:after="0"/>
              <w:jc w:val="right"/>
            </w:pPr>
            <w:r>
              <w:rPr>
                <w:sz w:val="15"/>
              </w:rPr>
              <w:t>552.9</w:t>
            </w:r>
          </w:p>
        </w:tc>
      </w:tr>
      <w:tr>
        <w:tc>
          <w:tcPr>
            <w:tcW w:type="dxa" w:w="2737"/>
          </w:tcPr>
          <w:p>
            <w:pPr>
              <w:spacing w:after="0"/>
            </w:pPr>
            <w:r>
              <w:rPr>
                <w:sz w:val="15"/>
              </w:rPr>
              <w:t>Total operating expenses</w:t>
            </w:r>
          </w:p>
        </w:tc>
        <w:tc>
          <w:tcPr>
            <w:tcW w:type="dxa" w:w="1104"/>
          </w:tcPr>
          <w:p>
            <w:pPr>
              <w:spacing w:after="0"/>
              <w:jc w:val="right"/>
            </w:pPr>
            <w:r>
              <w:rPr>
                <w:sz w:val="15"/>
              </w:rPr>
              <w:t>815.7</w:t>
            </w:r>
          </w:p>
        </w:tc>
        <w:tc>
          <w:tcPr>
            <w:tcW w:type="dxa" w:w="1104"/>
          </w:tcPr>
          <w:p>
            <w:pPr>
              <w:spacing w:after="0"/>
              <w:jc w:val="right"/>
            </w:pPr>
            <w:r>
              <w:rPr>
                <w:sz w:val="15"/>
              </w:rPr>
              <w:t>844.1</w:t>
            </w:r>
          </w:p>
        </w:tc>
        <w:tc>
          <w:tcPr>
            <w:tcW w:type="dxa" w:w="1104"/>
          </w:tcPr>
          <w:p>
            <w:pPr>
              <w:spacing w:after="0"/>
              <w:jc w:val="right"/>
            </w:pPr>
            <w:r>
              <w:rPr>
                <w:sz w:val="15"/>
              </w:rPr>
              <w:t>1,038.9</w:t>
            </w:r>
          </w:p>
        </w:tc>
        <w:tc>
          <w:tcPr>
            <w:tcW w:type="dxa" w:w="1104"/>
          </w:tcPr>
          <w:p>
            <w:pPr>
              <w:spacing w:after="0"/>
              <w:jc w:val="right"/>
            </w:pPr>
            <w:r>
              <w:rPr>
                <w:sz w:val="15"/>
              </w:rPr>
              <w:t>526.4</w:t>
            </w:r>
          </w:p>
        </w:tc>
        <w:tc>
          <w:tcPr>
            <w:tcW w:type="dxa" w:w="1104"/>
          </w:tcPr>
          <w:p>
            <w:pPr>
              <w:spacing w:after="0"/>
              <w:jc w:val="right"/>
            </w:pPr>
            <w:r>
              <w:rPr>
                <w:sz w:val="15"/>
              </w:rPr>
              <w:t>459.6</w:t>
            </w:r>
          </w:p>
        </w:tc>
        <w:tc>
          <w:tcPr>
            <w:tcW w:type="dxa" w:w="1104"/>
          </w:tcPr>
          <w:p>
            <w:pPr>
              <w:spacing w:after="0"/>
              <w:jc w:val="right"/>
            </w:pPr>
            <w:r>
              <w:rPr>
                <w:sz w:val="15"/>
              </w:rPr>
              <w:t>972.1</w:t>
            </w:r>
          </w:p>
        </w:tc>
      </w:tr>
      <w:tr>
        <w:tc>
          <w:tcPr>
            <w:tcW w:type="dxa" w:w="2737"/>
          </w:tcPr>
          <w:p>
            <w:pPr>
              <w:spacing w:after="0"/>
            </w:pPr>
            <w:r>
              <w:rPr>
                <w:sz w:val="15"/>
              </w:rPr>
              <w:t>Net investment income after taxes</w:t>
            </w:r>
          </w:p>
        </w:tc>
        <w:tc>
          <w:tcPr>
            <w:tcW w:type="dxa" w:w="1104"/>
          </w:tcPr>
          <w:p>
            <w:pPr>
              <w:spacing w:after="0"/>
              <w:jc w:val="right"/>
            </w:pPr>
            <w:r>
              <w:rPr>
                <w:sz w:val="15"/>
              </w:rPr>
              <w:t>753.6</w:t>
            </w:r>
          </w:p>
        </w:tc>
        <w:tc>
          <w:tcPr>
            <w:tcW w:type="dxa" w:w="1104"/>
          </w:tcPr>
          <w:p>
            <w:pPr>
              <w:spacing w:after="0"/>
              <w:jc w:val="right"/>
            </w:pPr>
            <w:r>
              <w:rPr>
                <w:sz w:val="15"/>
              </w:rPr>
              <w:t>741.1</w:t>
            </w:r>
          </w:p>
        </w:tc>
        <w:tc>
          <w:tcPr>
            <w:tcW w:type="dxa" w:w="1104"/>
          </w:tcPr>
          <w:p>
            <w:pPr>
              <w:spacing w:after="0"/>
              <w:jc w:val="right"/>
            </w:pPr>
            <w:r>
              <w:rPr>
                <w:sz w:val="15"/>
              </w:rPr>
              <w:t>800.4</w:t>
            </w:r>
          </w:p>
        </w:tc>
        <w:tc>
          <w:tcPr>
            <w:tcW w:type="dxa" w:w="1104"/>
          </w:tcPr>
          <w:p>
            <w:pPr>
              <w:spacing w:after="0"/>
              <w:jc w:val="right"/>
            </w:pPr>
            <w:r>
              <w:rPr>
                <w:sz w:val="15"/>
              </w:rPr>
              <w:t>418.0</w:t>
            </w:r>
          </w:p>
        </w:tc>
        <w:tc>
          <w:tcPr>
            <w:tcW w:type="dxa" w:w="1104"/>
          </w:tcPr>
          <w:p>
            <w:pPr>
              <w:spacing w:after="0"/>
              <w:jc w:val="right"/>
            </w:pPr>
            <w:r>
              <w:rPr>
                <w:sz w:val="15"/>
              </w:rPr>
              <w:t>335.3</w:t>
            </w:r>
          </w:p>
        </w:tc>
        <w:tc>
          <w:tcPr>
            <w:tcW w:type="dxa" w:w="1104"/>
          </w:tcPr>
          <w:p>
            <w:pPr>
              <w:spacing w:after="0"/>
              <w:jc w:val="right"/>
            </w:pPr>
            <w:r>
              <w:rPr>
                <w:sz w:val="15"/>
              </w:rPr>
              <w:t>717.7</w:t>
            </w:r>
          </w:p>
        </w:tc>
      </w:tr>
      <w:tr>
        <w:tc>
          <w:tcPr>
            <w:tcW w:type="dxa" w:w="2737"/>
          </w:tcPr>
          <w:p>
            <w:pPr>
              <w:spacing w:after="0"/>
            </w:pPr>
            <w:r>
              <w:rPr>
                <w:sz w:val="15"/>
              </w:rPr>
              <w:t>Net change in unrealized gain (loss)</w:t>
            </w:r>
          </w:p>
        </w:tc>
        <w:tc>
          <w:tcPr>
            <w:tcW w:type="dxa" w:w="1104"/>
          </w:tcPr>
          <w:p>
            <w:pPr>
              <w:spacing w:after="0"/>
              <w:jc w:val="right"/>
            </w:pPr>
            <w:r>
              <w:rPr>
                <w:sz w:val="15"/>
              </w:rPr>
              <w:t>92.9</w:t>
            </w:r>
          </w:p>
        </w:tc>
        <w:tc>
          <w:tcPr>
            <w:tcW w:type="dxa" w:w="1104"/>
          </w:tcPr>
          <w:p>
            <w:pPr>
              <w:spacing w:after="0"/>
              <w:jc w:val="right"/>
            </w:pPr>
            <w:r>
              <w:rPr>
                <w:sz w:val="15"/>
              </w:rPr>
              <w:t>(50.2)</w:t>
            </w:r>
          </w:p>
        </w:tc>
        <w:tc>
          <w:tcPr>
            <w:tcW w:type="dxa" w:w="1104"/>
          </w:tcPr>
          <w:p>
            <w:pPr>
              <w:spacing w:after="0"/>
              <w:jc w:val="right"/>
            </w:pPr>
            <w:r>
              <w:rPr>
                <w:sz w:val="15"/>
              </w:rPr>
              <w:t>6.3</w:t>
            </w:r>
          </w:p>
        </w:tc>
        <w:tc>
          <w:tcPr>
            <w:tcW w:type="dxa" w:w="1104"/>
          </w:tcPr>
          <w:p>
            <w:pPr>
              <w:spacing w:after="0"/>
              <w:jc w:val="right"/>
            </w:pPr>
            <w:r>
              <w:rPr>
                <w:sz w:val="15"/>
              </w:rPr>
              <w:t>105.1</w:t>
            </w:r>
          </w:p>
        </w:tc>
        <w:tc>
          <w:tcPr>
            <w:tcW w:type="dxa" w:w="1104"/>
          </w:tcPr>
          <w:p>
            <w:pPr>
              <w:spacing w:after="0"/>
              <w:jc w:val="right"/>
            </w:pPr>
            <w:r>
              <w:rPr>
                <w:sz w:val="15"/>
              </w:rPr>
              <w:t>(196.3)</w:t>
            </w:r>
          </w:p>
        </w:tc>
        <w:tc>
          <w:tcPr>
            <w:tcW w:type="dxa" w:w="1104"/>
          </w:tcPr>
          <w:p>
            <w:pPr>
              <w:spacing w:after="0"/>
              <w:jc w:val="right"/>
            </w:pPr>
            <w:r>
              <w:rPr>
                <w:sz w:val="15"/>
              </w:rPr>
              <w:t>(295.1)</w:t>
            </w:r>
          </w:p>
        </w:tc>
      </w:tr>
      <w:tr>
        <w:tc>
          <w:tcPr>
            <w:tcW w:type="dxa" w:w="2737"/>
          </w:tcPr>
          <w:p>
            <w:pPr>
              <w:spacing w:after="0"/>
            </w:pPr>
            <w:r>
              <w:rPr>
                <w:sz w:val="15"/>
              </w:rPr>
              <w:t>Net realized gain (loss)</w:t>
            </w:r>
          </w:p>
        </w:tc>
        <w:tc>
          <w:tcPr>
            <w:tcW w:type="dxa" w:w="1104"/>
          </w:tcPr>
          <w:p>
            <w:pPr>
              <w:spacing w:after="0"/>
              <w:jc w:val="right"/>
            </w:pPr>
            <w:r>
              <w:rPr>
                <w:sz w:val="15"/>
              </w:rPr>
              <w:t>(53.2)</w:t>
            </w:r>
          </w:p>
        </w:tc>
        <w:tc>
          <w:tcPr>
            <w:tcW w:type="dxa" w:w="1104"/>
          </w:tcPr>
          <w:p>
            <w:pPr>
              <w:spacing w:after="0"/>
              <w:jc w:val="right"/>
            </w:pPr>
            <w:r>
              <w:rPr>
                <w:sz w:val="15"/>
              </w:rPr>
              <w:t>(95.9)</w:t>
            </w:r>
          </w:p>
        </w:tc>
        <w:tc>
          <w:tcPr>
            <w:tcW w:type="dxa" w:w="1104"/>
          </w:tcPr>
          <w:p>
            <w:pPr>
              <w:spacing w:after="0"/>
              <w:jc w:val="right"/>
            </w:pPr>
            <w:r>
              <w:rPr>
                <w:sz w:val="15"/>
              </w:rPr>
              <w:t>(179.2)</w:t>
            </w:r>
          </w:p>
        </w:tc>
        <w:tc>
          <w:tcPr>
            <w:tcW w:type="dxa" w:w="1104"/>
          </w:tcPr>
          <w:p>
            <w:pPr>
              <w:spacing w:after="0"/>
              <w:jc w:val="right"/>
            </w:pPr>
            <w:r>
              <w:rPr>
                <w:sz w:val="15"/>
              </w:rPr>
              <w:t>(142.9)</w:t>
            </w:r>
          </w:p>
        </w:tc>
        <w:tc>
          <w:tcPr>
            <w:tcW w:type="dxa" w:w="1104"/>
          </w:tcPr>
          <w:p>
            <w:pPr>
              <w:spacing w:after="0"/>
              <w:jc w:val="right"/>
            </w:pPr>
            <w:r>
              <w:rPr>
                <w:sz w:val="15"/>
              </w:rPr>
              <w:t>(97.7)</w:t>
            </w:r>
          </w:p>
        </w:tc>
        <w:tc>
          <w:tcPr>
            <w:tcW w:type="dxa" w:w="1104"/>
          </w:tcPr>
          <w:p>
            <w:pPr>
              <w:spacing w:after="0"/>
              <w:jc w:val="right"/>
            </w:pPr>
            <w:r>
              <w:rPr>
                <w:sz w:val="15"/>
              </w:rPr>
              <w:t>(134.0)</w:t>
            </w:r>
          </w:p>
        </w:tc>
      </w:tr>
      <w:tr>
        <w:tc>
          <w:tcPr>
            <w:tcW w:type="dxa" w:w="2737"/>
          </w:tcPr>
          <w:p>
            <w:pPr>
              <w:spacing w:after="0"/>
            </w:pPr>
            <w:r>
              <w:rPr>
                <w:sz w:val="15"/>
              </w:rPr>
              <w:t>Net increase in net assets from operations</w:t>
            </w:r>
          </w:p>
        </w:tc>
        <w:tc>
          <w:tcPr>
            <w:tcW w:type="dxa" w:w="1104"/>
          </w:tcPr>
          <w:p>
            <w:pPr>
              <w:spacing w:after="0"/>
              <w:jc w:val="right"/>
            </w:pPr>
            <w:r>
              <w:rPr>
                <w:sz w:val="15"/>
              </w:rPr>
              <w:t>793.3</w:t>
            </w:r>
          </w:p>
        </w:tc>
        <w:tc>
          <w:tcPr>
            <w:tcW w:type="dxa" w:w="1104"/>
          </w:tcPr>
          <w:p>
            <w:pPr>
              <w:spacing w:after="0"/>
              <w:jc w:val="right"/>
            </w:pPr>
            <w:r>
              <w:rPr>
                <w:sz w:val="15"/>
              </w:rPr>
              <w:t>595.0</w:t>
            </w:r>
          </w:p>
        </w:tc>
        <w:tc>
          <w:tcPr>
            <w:tcW w:type="dxa" w:w="1104"/>
          </w:tcPr>
          <w:p>
            <w:pPr>
              <w:spacing w:after="0"/>
              <w:jc w:val="right"/>
            </w:pPr>
            <w:r>
              <w:rPr>
                <w:sz w:val="15"/>
              </w:rPr>
              <w:t>627.4</w:t>
            </w:r>
          </w:p>
        </w:tc>
        <w:tc>
          <w:tcPr>
            <w:tcW w:type="dxa" w:w="1104"/>
          </w:tcPr>
          <w:p>
            <w:pPr>
              <w:spacing w:after="0"/>
              <w:jc w:val="right"/>
            </w:pPr>
            <w:r>
              <w:rPr>
                <w:sz w:val="15"/>
              </w:rPr>
              <w:t>380.1</w:t>
            </w:r>
          </w:p>
        </w:tc>
        <w:tc>
          <w:tcPr>
            <w:tcW w:type="dxa" w:w="1104"/>
          </w:tcPr>
          <w:p>
            <w:pPr>
              <w:spacing w:after="0"/>
              <w:jc w:val="right"/>
            </w:pPr>
            <w:r>
              <w:rPr>
                <w:sz w:val="15"/>
              </w:rPr>
              <w:t>41.4</w:t>
            </w:r>
          </w:p>
        </w:tc>
        <w:tc>
          <w:tcPr>
            <w:tcW w:type="dxa" w:w="1104"/>
          </w:tcPr>
          <w:p>
            <w:pPr>
              <w:spacing w:after="0"/>
              <w:jc w:val="right"/>
            </w:pPr>
            <w:r>
              <w:rPr>
                <w:sz w:val="15"/>
              </w:rPr>
              <w:t>288.6</w:t>
            </w:r>
          </w:p>
        </w:tc>
      </w:tr>
    </w:tbl>
    <w:p>
      <w:pPr>
        <w:spacing w:after="40"/>
      </w:pP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581"/>
        <w:gridCol w:w="1444"/>
        <w:gridCol w:w="1444"/>
        <w:gridCol w:w="1444"/>
        <w:gridCol w:w="1444"/>
      </w:tblGrid>
      <w:tr>
        <w:tc>
          <w:tcPr>
            <w:tcW w:type="dxa" w:w="3582"/>
            <w:shd w:val="clear" w:color="auto" w:fill="E4EAF3"/>
          </w:tcPr>
          <w:p>
            <w:pPr>
              <w:spacing w:after="0"/>
            </w:pPr>
            <w:r>
              <w:rPr>
                <w:b/>
                <w:color w:val="121826"/>
                <w:sz w:val="17"/>
              </w:rPr>
              <w:t>OBDC balance sheet ($M unless stated)</w:t>
            </w:r>
          </w:p>
        </w:tc>
        <w:tc>
          <w:tcPr>
            <w:tcW w:type="dxa" w:w="1445"/>
            <w:shd w:val="clear" w:color="auto" w:fill="E4EAF3"/>
          </w:tcPr>
          <w:p>
            <w:pPr>
              <w:spacing w:after="0"/>
            </w:pPr>
            <w:r>
              <w:rPr>
                <w:b/>
                <w:color w:val="121826"/>
                <w:sz w:val="17"/>
              </w:rPr>
              <w:t>Dec-23</w:t>
            </w:r>
          </w:p>
        </w:tc>
        <w:tc>
          <w:tcPr>
            <w:tcW w:type="dxa" w:w="1445"/>
            <w:shd w:val="clear" w:color="auto" w:fill="E4EAF3"/>
          </w:tcPr>
          <w:p>
            <w:pPr>
              <w:spacing w:after="0"/>
            </w:pPr>
            <w:r>
              <w:rPr>
                <w:b/>
                <w:color w:val="121826"/>
                <w:sz w:val="17"/>
              </w:rPr>
              <w:t>Dec-24</w:t>
            </w:r>
          </w:p>
        </w:tc>
        <w:tc>
          <w:tcPr>
            <w:tcW w:type="dxa" w:w="1445"/>
            <w:shd w:val="clear" w:color="auto" w:fill="E4EAF3"/>
          </w:tcPr>
          <w:p>
            <w:pPr>
              <w:spacing w:after="0"/>
            </w:pPr>
            <w:r>
              <w:rPr>
                <w:b/>
                <w:color w:val="121826"/>
                <w:sz w:val="17"/>
              </w:rPr>
              <w:t>Dec-25</w:t>
            </w:r>
          </w:p>
        </w:tc>
        <w:tc>
          <w:tcPr>
            <w:tcW w:type="dxa" w:w="1445"/>
            <w:shd w:val="clear" w:color="auto" w:fill="E4EAF3"/>
          </w:tcPr>
          <w:p>
            <w:pPr>
              <w:spacing w:after="0"/>
            </w:pPr>
            <w:r>
              <w:rPr>
                <w:b/>
                <w:color w:val="121826"/>
                <w:sz w:val="17"/>
              </w:rPr>
              <w:t>Jun-26</w:t>
            </w:r>
          </w:p>
        </w:tc>
      </w:tr>
      <w:tr>
        <w:tc>
          <w:tcPr>
            <w:tcW w:type="dxa" w:w="3582"/>
          </w:tcPr>
          <w:p>
            <w:pPr>
              <w:spacing w:after="0"/>
            </w:pPr>
            <w:r>
              <w:rPr>
                <w:sz w:val="17"/>
              </w:rPr>
              <w:t>Investments at fair value</w:t>
            </w:r>
          </w:p>
        </w:tc>
        <w:tc>
          <w:tcPr>
            <w:tcW w:type="dxa" w:w="1445"/>
          </w:tcPr>
          <w:p>
            <w:pPr>
              <w:spacing w:after="0"/>
              <w:jc w:val="right"/>
            </w:pPr>
            <w:r>
              <w:rPr>
                <w:sz w:val="17"/>
              </w:rPr>
              <w:t>12,713.3</w:t>
            </w:r>
          </w:p>
        </w:tc>
        <w:tc>
          <w:tcPr>
            <w:tcW w:type="dxa" w:w="1445"/>
          </w:tcPr>
          <w:p>
            <w:pPr>
              <w:spacing w:after="0"/>
              <w:jc w:val="right"/>
            </w:pPr>
            <w:r>
              <w:rPr>
                <w:sz w:val="17"/>
              </w:rPr>
              <w:t>13,194.5</w:t>
            </w:r>
          </w:p>
        </w:tc>
        <w:tc>
          <w:tcPr>
            <w:tcW w:type="dxa" w:w="1445"/>
          </w:tcPr>
          <w:p>
            <w:pPr>
              <w:spacing w:after="0"/>
              <w:jc w:val="right"/>
            </w:pPr>
            <w:r>
              <w:rPr>
                <w:sz w:val="17"/>
              </w:rPr>
              <w:t>16,470.9</w:t>
            </w:r>
          </w:p>
        </w:tc>
        <w:tc>
          <w:tcPr>
            <w:tcW w:type="dxa" w:w="1445"/>
          </w:tcPr>
          <w:p>
            <w:pPr>
              <w:spacing w:after="0"/>
              <w:jc w:val="right"/>
            </w:pPr>
            <w:r>
              <w:rPr>
                <w:sz w:val="17"/>
              </w:rPr>
              <w:t>14,955.0</w:t>
            </w:r>
          </w:p>
        </w:tc>
      </w:tr>
      <w:tr>
        <w:tc>
          <w:tcPr>
            <w:tcW w:type="dxa" w:w="3582"/>
          </w:tcPr>
          <w:p>
            <w:pPr>
              <w:spacing w:after="0"/>
            </w:pPr>
            <w:r>
              <w:rPr>
                <w:sz w:val="17"/>
              </w:rPr>
              <w:t>Total assets</w:t>
            </w:r>
          </w:p>
        </w:tc>
        <w:tc>
          <w:tcPr>
            <w:tcW w:type="dxa" w:w="1445"/>
          </w:tcPr>
          <w:p>
            <w:pPr>
              <w:spacing w:after="0"/>
              <w:jc w:val="right"/>
            </w:pPr>
            <w:r>
              <w:rPr>
                <w:sz w:val="17"/>
              </w:rPr>
              <w:t>13,511.4</w:t>
            </w:r>
          </w:p>
        </w:tc>
        <w:tc>
          <w:tcPr>
            <w:tcW w:type="dxa" w:w="1445"/>
          </w:tcPr>
          <w:p>
            <w:pPr>
              <w:spacing w:after="0"/>
              <w:jc w:val="right"/>
            </w:pPr>
            <w:r>
              <w:rPr>
                <w:sz w:val="17"/>
              </w:rPr>
              <w:t>13,865.6</w:t>
            </w:r>
          </w:p>
        </w:tc>
        <w:tc>
          <w:tcPr>
            <w:tcW w:type="dxa" w:w="1445"/>
          </w:tcPr>
          <w:p>
            <w:pPr>
              <w:spacing w:after="0"/>
              <w:jc w:val="right"/>
            </w:pPr>
            <w:r>
              <w:rPr>
                <w:sz w:val="17"/>
              </w:rPr>
              <w:t>17,186.4</w:t>
            </w:r>
          </w:p>
        </w:tc>
        <w:tc>
          <w:tcPr>
            <w:tcW w:type="dxa" w:w="1445"/>
          </w:tcPr>
          <w:p>
            <w:pPr>
              <w:spacing w:after="0"/>
              <w:jc w:val="right"/>
            </w:pPr>
            <w:r>
              <w:rPr>
                <w:sz w:val="17"/>
              </w:rPr>
              <w:t>15,354.6</w:t>
            </w:r>
          </w:p>
        </w:tc>
      </w:tr>
      <w:tr>
        <w:tc>
          <w:tcPr>
            <w:tcW w:type="dxa" w:w="3582"/>
          </w:tcPr>
          <w:p>
            <w:pPr>
              <w:spacing w:after="0"/>
            </w:pPr>
            <w:r>
              <w:rPr>
                <w:sz w:val="17"/>
              </w:rPr>
              <w:t>Debt (net of issuance costs)</w:t>
            </w:r>
          </w:p>
        </w:tc>
        <w:tc>
          <w:tcPr>
            <w:tcW w:type="dxa" w:w="1445"/>
          </w:tcPr>
          <w:p>
            <w:pPr>
              <w:spacing w:after="0"/>
              <w:jc w:val="right"/>
            </w:pPr>
            <w:r>
              <w:rPr>
                <w:sz w:val="17"/>
              </w:rPr>
              <w:t>7,077.1</w:t>
            </w:r>
          </w:p>
        </w:tc>
        <w:tc>
          <w:tcPr>
            <w:tcW w:type="dxa" w:w="1445"/>
          </w:tcPr>
          <w:p>
            <w:pPr>
              <w:spacing w:after="0"/>
              <w:jc w:val="right"/>
            </w:pPr>
            <w:r>
              <w:rPr>
                <w:sz w:val="17"/>
              </w:rPr>
              <w:t>7,457.7</w:t>
            </w:r>
          </w:p>
        </w:tc>
        <w:tc>
          <w:tcPr>
            <w:tcW w:type="dxa" w:w="1445"/>
          </w:tcPr>
          <w:p>
            <w:pPr>
              <w:spacing w:after="0"/>
              <w:jc w:val="right"/>
            </w:pPr>
            <w:r>
              <w:rPr>
                <w:sz w:val="17"/>
              </w:rPr>
              <w:t>9,300.1</w:t>
            </w:r>
          </w:p>
        </w:tc>
        <w:tc>
          <w:tcPr>
            <w:tcW w:type="dxa" w:w="1445"/>
          </w:tcPr>
          <w:p>
            <w:pPr>
              <w:spacing w:after="0"/>
              <w:jc w:val="right"/>
            </w:pPr>
            <w:r>
              <w:rPr>
                <w:sz w:val="17"/>
              </w:rPr>
              <w:t>7,903.5</w:t>
            </w:r>
          </w:p>
        </w:tc>
      </w:tr>
      <w:tr>
        <w:tc>
          <w:tcPr>
            <w:tcW w:type="dxa" w:w="3582"/>
          </w:tcPr>
          <w:p>
            <w:pPr>
              <w:spacing w:after="0"/>
            </w:pPr>
            <w:r>
              <w:rPr>
                <w:sz w:val="17"/>
              </w:rPr>
              <w:t>Net assets</w:t>
            </w:r>
          </w:p>
        </w:tc>
        <w:tc>
          <w:tcPr>
            <w:tcW w:type="dxa" w:w="1445"/>
          </w:tcPr>
          <w:p>
            <w:pPr>
              <w:spacing w:after="0"/>
              <w:jc w:val="right"/>
            </w:pPr>
            <w:r>
              <w:rPr>
                <w:sz w:val="17"/>
              </w:rPr>
              <w:t>6,021.4</w:t>
            </w:r>
          </w:p>
        </w:tc>
        <w:tc>
          <w:tcPr>
            <w:tcW w:type="dxa" w:w="1445"/>
          </w:tcPr>
          <w:p>
            <w:pPr>
              <w:spacing w:after="0"/>
              <w:jc w:val="right"/>
            </w:pPr>
            <w:r>
              <w:rPr>
                <w:sz w:val="17"/>
              </w:rPr>
              <w:t>5,952.8</w:t>
            </w:r>
          </w:p>
        </w:tc>
        <w:tc>
          <w:tcPr>
            <w:tcW w:type="dxa" w:w="1445"/>
          </w:tcPr>
          <w:p>
            <w:pPr>
              <w:spacing w:after="0"/>
              <w:jc w:val="right"/>
            </w:pPr>
            <w:r>
              <w:rPr>
                <w:sz w:val="17"/>
              </w:rPr>
              <w:t>7,397.3</w:t>
            </w:r>
          </w:p>
        </w:tc>
        <w:tc>
          <w:tcPr>
            <w:tcW w:type="dxa" w:w="1445"/>
          </w:tcPr>
          <w:p>
            <w:pPr>
              <w:spacing w:after="0"/>
              <w:jc w:val="right"/>
            </w:pPr>
            <w:r>
              <w:rPr>
                <w:sz w:val="17"/>
              </w:rPr>
              <w:t>7,031.8</w:t>
            </w:r>
          </w:p>
        </w:tc>
      </w:tr>
      <w:tr>
        <w:tc>
          <w:tcPr>
            <w:tcW w:type="dxa" w:w="3582"/>
          </w:tcPr>
          <w:p>
            <w:pPr>
              <w:spacing w:after="0"/>
            </w:pPr>
            <w:r>
              <w:rPr>
                <w:sz w:val="17"/>
              </w:rPr>
              <w:t>Net asset value per share ($)</w:t>
            </w:r>
          </w:p>
        </w:tc>
        <w:tc>
          <w:tcPr>
            <w:tcW w:type="dxa" w:w="1445"/>
          </w:tcPr>
          <w:p>
            <w:pPr>
              <w:spacing w:after="0"/>
              <w:jc w:val="right"/>
            </w:pPr>
            <w:r>
              <w:rPr>
                <w:sz w:val="17"/>
              </w:rPr>
              <w:t>15.45</w:t>
            </w:r>
          </w:p>
        </w:tc>
        <w:tc>
          <w:tcPr>
            <w:tcW w:type="dxa" w:w="1445"/>
          </w:tcPr>
          <w:p>
            <w:pPr>
              <w:spacing w:after="0"/>
              <w:jc w:val="right"/>
            </w:pPr>
            <w:r>
              <w:rPr>
                <w:sz w:val="17"/>
              </w:rPr>
              <w:t>15.26</w:t>
            </w:r>
          </w:p>
        </w:tc>
        <w:tc>
          <w:tcPr>
            <w:tcW w:type="dxa" w:w="1445"/>
          </w:tcPr>
          <w:p>
            <w:pPr>
              <w:spacing w:after="0"/>
              <w:jc w:val="right"/>
            </w:pPr>
            <w:r>
              <w:rPr>
                <w:sz w:val="17"/>
              </w:rPr>
              <w:t>14.81</w:t>
            </w:r>
          </w:p>
        </w:tc>
        <w:tc>
          <w:tcPr>
            <w:tcW w:type="dxa" w:w="1445"/>
          </w:tcPr>
          <w:p>
            <w:pPr>
              <w:spacing w:after="0"/>
              <w:jc w:val="right"/>
            </w:pPr>
            <w:r>
              <w:rPr>
                <w:sz w:val="17"/>
              </w:rPr>
              <w:t>14.26</w:t>
            </w:r>
          </w:p>
        </w:tc>
      </w:tr>
      <w:tr>
        <w:tc>
          <w:tcPr>
            <w:tcW w:type="dxa" w:w="3582"/>
          </w:tcPr>
          <w:p>
            <w:pPr>
              <w:spacing w:after="0"/>
            </w:pPr>
            <w:r>
              <w:rPr>
                <w:sz w:val="17"/>
              </w:rPr>
              <w:t>Net leverage, as reported (x)</w:t>
            </w:r>
          </w:p>
        </w:tc>
        <w:tc>
          <w:tcPr>
            <w:tcW w:type="dxa" w:w="1445"/>
          </w:tcPr>
          <w:p>
            <w:pPr>
              <w:spacing w:after="0"/>
              <w:jc w:val="right"/>
            </w:pPr>
            <w:r>
              <w:rPr>
                <w:sz w:val="17"/>
              </w:rPr>
              <w:t>1.09x</w:t>
            </w:r>
          </w:p>
        </w:tc>
        <w:tc>
          <w:tcPr>
            <w:tcW w:type="dxa" w:w="1445"/>
          </w:tcPr>
          <w:p>
            <w:pPr>
              <w:spacing w:after="0"/>
              <w:jc w:val="right"/>
            </w:pPr>
            <w:r>
              <w:rPr>
                <w:sz w:val="17"/>
              </w:rPr>
              <w:t>1.19x</w:t>
            </w:r>
          </w:p>
        </w:tc>
        <w:tc>
          <w:tcPr>
            <w:tcW w:type="dxa" w:w="1445"/>
          </w:tcPr>
          <w:p>
            <w:pPr>
              <w:spacing w:after="0"/>
              <w:jc w:val="right"/>
            </w:pPr>
            <w:r>
              <w:rPr>
                <w:sz w:val="17"/>
              </w:rPr>
              <w:t>1.19x</w:t>
            </w:r>
          </w:p>
        </w:tc>
        <w:tc>
          <w:tcPr>
            <w:tcW w:type="dxa" w:w="1445"/>
          </w:tcPr>
          <w:p>
            <w:pPr>
              <w:spacing w:after="0"/>
              <w:jc w:val="right"/>
            </w:pPr>
            <w:r>
              <w:rPr>
                <w:sz w:val="17"/>
              </w:rPr>
              <w:t>1.11x</w:t>
            </w:r>
          </w:p>
        </w:tc>
      </w:tr>
    </w:tbl>
    <w:p>
      <w:pPr>
        <w:spacing w:after="40"/>
      </w:pPr>
    </w:p>
    <w:p>
      <w:pPr>
        <w:spacing w:after="80"/>
      </w:pPr>
      <w:r>
        <w:t>LTM Jun-26 = FY2025 + 6M Jun-26 − 6M Jun-25. Source: OBDC Forms 10-K FY2024 and FY2025, 10-Q Q2-2026. Exhibit 4.</w:t>
      </w:r>
    </w:p>
    <w:p>
      <w:pPr>
        <w:spacing w:after="80"/>
      </w:pPr>
      <w:r>
        <w:rPr>
          <w:b/>
        </w:rPr>
        <w:t>Portfolio performance by quarter.</w:t>
      </w:r>
      <w:r>
        <w:t xml:space="preserve"> Exhibit 5 gives 27 quarter-ends from Dec-19 to Jun-26, including the 2020 pandemic quarters. Selected quarters: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2252"/>
        <w:gridCol w:w="1421"/>
        <w:gridCol w:w="1421"/>
        <w:gridCol w:w="1421"/>
        <w:gridCol w:w="1421"/>
        <w:gridCol w:w="1421"/>
      </w:tblGrid>
      <w:tr>
        <w:tc>
          <w:tcPr>
            <w:tcW w:type="dxa" w:w="2252"/>
            <w:shd w:val="clear" w:color="auto" w:fill="E4EAF3"/>
          </w:tcPr>
          <w:p>
            <w:pPr>
              <w:spacing w:after="0"/>
            </w:pPr>
            <w:r>
              <w:rPr>
                <w:b/>
                <w:color w:val="121826"/>
                <w:sz w:val="15"/>
              </w:rPr>
              <w:t>Quarter-end</w:t>
            </w:r>
          </w:p>
        </w:tc>
        <w:tc>
          <w:tcPr>
            <w:tcW w:type="dxa" w:w="1422"/>
            <w:shd w:val="clear" w:color="auto" w:fill="E4EAF3"/>
          </w:tcPr>
          <w:p>
            <w:pPr>
              <w:spacing w:after="0"/>
            </w:pPr>
            <w:r>
              <w:rPr>
                <w:b/>
                <w:color w:val="121826"/>
                <w:sz w:val="15"/>
              </w:rPr>
              <w:t>Investments at fair value ($M)</w:t>
            </w:r>
          </w:p>
        </w:tc>
        <w:tc>
          <w:tcPr>
            <w:tcW w:type="dxa" w:w="1422"/>
            <w:shd w:val="clear" w:color="auto" w:fill="E4EAF3"/>
          </w:tcPr>
          <w:p>
            <w:pPr>
              <w:spacing w:after="0"/>
            </w:pPr>
            <w:r>
              <w:rPr>
                <w:b/>
                <w:color w:val="121826"/>
                <w:sz w:val="15"/>
              </w:rPr>
              <w:t>Portfolio companies</w:t>
            </w:r>
          </w:p>
        </w:tc>
        <w:tc>
          <w:tcPr>
            <w:tcW w:type="dxa" w:w="1422"/>
            <w:shd w:val="clear" w:color="auto" w:fill="E4EAF3"/>
          </w:tcPr>
          <w:p>
            <w:pPr>
              <w:spacing w:after="0"/>
            </w:pPr>
            <w:r>
              <w:rPr>
                <w:b/>
                <w:color w:val="121826"/>
                <w:sz w:val="15"/>
              </w:rPr>
              <w:t>Non-accrual, share of amortized cost</w:t>
            </w:r>
          </w:p>
        </w:tc>
        <w:tc>
          <w:tcPr>
            <w:tcW w:type="dxa" w:w="1422"/>
            <w:shd w:val="clear" w:color="auto" w:fill="E4EAF3"/>
          </w:tcPr>
          <w:p>
            <w:pPr>
              <w:spacing w:after="0"/>
            </w:pPr>
            <w:r>
              <w:rPr>
                <w:b/>
                <w:color w:val="121826"/>
                <w:sz w:val="15"/>
              </w:rPr>
              <w:t>Rated 4 or 5, share of fair value</w:t>
            </w:r>
          </w:p>
        </w:tc>
        <w:tc>
          <w:tcPr>
            <w:tcW w:type="dxa" w:w="1422"/>
            <w:shd w:val="clear" w:color="auto" w:fill="E4EAF3"/>
          </w:tcPr>
          <w:p>
            <w:pPr>
              <w:spacing w:after="0"/>
            </w:pPr>
            <w:r>
              <w:rPr>
                <w:b/>
                <w:color w:val="121826"/>
                <w:sz w:val="15"/>
              </w:rPr>
              <w:t>Weighted average spread</w:t>
            </w:r>
          </w:p>
        </w:tc>
      </w:tr>
      <w:tr>
        <w:tc>
          <w:tcPr>
            <w:tcW w:type="dxa" w:w="2252"/>
          </w:tcPr>
          <w:p>
            <w:pPr>
              <w:spacing w:after="0"/>
            </w:pPr>
            <w:r>
              <w:rPr>
                <w:sz w:val="15"/>
              </w:rPr>
              <w:t>Q1-20</w:t>
            </w:r>
          </w:p>
        </w:tc>
        <w:tc>
          <w:tcPr>
            <w:tcW w:type="dxa" w:w="1422"/>
          </w:tcPr>
          <w:p>
            <w:pPr>
              <w:spacing w:after="0"/>
              <w:jc w:val="right"/>
            </w:pPr>
            <w:r>
              <w:rPr>
                <w:sz w:val="15"/>
              </w:rPr>
              <w:t>8,938.3</w:t>
            </w:r>
          </w:p>
        </w:tc>
        <w:tc>
          <w:tcPr>
            <w:tcW w:type="dxa" w:w="1422"/>
          </w:tcPr>
          <w:p>
            <w:pPr>
              <w:spacing w:after="0"/>
              <w:jc w:val="right"/>
            </w:pPr>
            <w:r>
              <w:rPr>
                <w:sz w:val="15"/>
              </w:rPr>
              <w:t>101</w:t>
            </w:r>
          </w:p>
        </w:tc>
        <w:tc>
          <w:tcPr>
            <w:tcW w:type="dxa" w:w="1422"/>
          </w:tcPr>
          <w:p>
            <w:pPr>
              <w:spacing w:after="0"/>
              <w:jc w:val="right"/>
            </w:pPr>
            <w:r>
              <w:rPr>
                <w:sz w:val="15"/>
              </w:rPr>
              <w:t>0.0%</w:t>
            </w:r>
          </w:p>
        </w:tc>
        <w:tc>
          <w:tcPr>
            <w:tcW w:type="dxa" w:w="1422"/>
          </w:tcPr>
          <w:p>
            <w:pPr>
              <w:spacing w:after="0"/>
              <w:jc w:val="right"/>
            </w:pPr>
            <w:r>
              <w:rPr>
                <w:sz w:val="15"/>
              </w:rPr>
              <w:t>4.8%</w:t>
            </w:r>
          </w:p>
        </w:tc>
        <w:tc>
          <w:tcPr>
            <w:tcW w:type="dxa" w:w="1422"/>
          </w:tcPr>
          <w:p>
            <w:pPr>
              <w:spacing w:after="0"/>
              <w:jc w:val="right"/>
            </w:pPr>
            <w:r>
              <w:rPr>
                <w:sz w:val="15"/>
              </w:rPr>
              <w:t>n/d</w:t>
            </w:r>
          </w:p>
        </w:tc>
      </w:tr>
      <w:tr>
        <w:tc>
          <w:tcPr>
            <w:tcW w:type="dxa" w:w="2252"/>
          </w:tcPr>
          <w:p>
            <w:pPr>
              <w:spacing w:after="0"/>
            </w:pPr>
            <w:r>
              <w:rPr>
                <w:sz w:val="15"/>
              </w:rPr>
              <w:t>Q2-20</w:t>
            </w:r>
          </w:p>
        </w:tc>
        <w:tc>
          <w:tcPr>
            <w:tcW w:type="dxa" w:w="1422"/>
          </w:tcPr>
          <w:p>
            <w:pPr>
              <w:spacing w:after="0"/>
              <w:jc w:val="right"/>
            </w:pPr>
            <w:r>
              <w:rPr>
                <w:sz w:val="15"/>
              </w:rPr>
              <w:t>9,210.7</w:t>
            </w:r>
          </w:p>
        </w:tc>
        <w:tc>
          <w:tcPr>
            <w:tcW w:type="dxa" w:w="1422"/>
          </w:tcPr>
          <w:p>
            <w:pPr>
              <w:spacing w:after="0"/>
              <w:jc w:val="right"/>
            </w:pPr>
            <w:r>
              <w:rPr>
                <w:sz w:val="15"/>
              </w:rPr>
              <w:t>102</w:t>
            </w:r>
          </w:p>
        </w:tc>
        <w:tc>
          <w:tcPr>
            <w:tcW w:type="dxa" w:w="1422"/>
          </w:tcPr>
          <w:p>
            <w:pPr>
              <w:spacing w:after="0"/>
              <w:jc w:val="right"/>
            </w:pPr>
            <w:r>
              <w:rPr>
                <w:sz w:val="15"/>
              </w:rPr>
              <w:t>2.1%</w:t>
            </w:r>
          </w:p>
        </w:tc>
        <w:tc>
          <w:tcPr>
            <w:tcW w:type="dxa" w:w="1422"/>
          </w:tcPr>
          <w:p>
            <w:pPr>
              <w:spacing w:after="0"/>
              <w:jc w:val="right"/>
            </w:pPr>
            <w:r>
              <w:rPr>
                <w:sz w:val="15"/>
              </w:rPr>
              <w:t>5.0%</w:t>
            </w:r>
          </w:p>
        </w:tc>
        <w:tc>
          <w:tcPr>
            <w:tcW w:type="dxa" w:w="1422"/>
          </w:tcPr>
          <w:p>
            <w:pPr>
              <w:spacing w:after="0"/>
              <w:jc w:val="right"/>
            </w:pPr>
            <w:r>
              <w:rPr>
                <w:sz w:val="15"/>
              </w:rPr>
              <w:t>n/d</w:t>
            </w:r>
          </w:p>
        </w:tc>
      </w:tr>
      <w:tr>
        <w:tc>
          <w:tcPr>
            <w:tcW w:type="dxa" w:w="2252"/>
          </w:tcPr>
          <w:p>
            <w:pPr>
              <w:spacing w:after="0"/>
            </w:pPr>
            <w:r>
              <w:rPr>
                <w:sz w:val="15"/>
              </w:rPr>
              <w:t>Q3-20</w:t>
            </w:r>
          </w:p>
        </w:tc>
        <w:tc>
          <w:tcPr>
            <w:tcW w:type="dxa" w:w="1422"/>
          </w:tcPr>
          <w:p>
            <w:pPr>
              <w:spacing w:after="0"/>
              <w:jc w:val="right"/>
            </w:pPr>
            <w:r>
              <w:rPr>
                <w:sz w:val="15"/>
              </w:rPr>
              <w:t>9,918.3</w:t>
            </w:r>
          </w:p>
        </w:tc>
        <w:tc>
          <w:tcPr>
            <w:tcW w:type="dxa" w:w="1422"/>
          </w:tcPr>
          <w:p>
            <w:pPr>
              <w:spacing w:after="0"/>
              <w:jc w:val="right"/>
            </w:pPr>
            <w:r>
              <w:rPr>
                <w:sz w:val="15"/>
              </w:rPr>
              <w:t>110</w:t>
            </w:r>
          </w:p>
        </w:tc>
        <w:tc>
          <w:tcPr>
            <w:tcW w:type="dxa" w:w="1422"/>
          </w:tcPr>
          <w:p>
            <w:pPr>
              <w:spacing w:after="0"/>
              <w:jc w:val="right"/>
            </w:pPr>
            <w:r>
              <w:rPr>
                <w:sz w:val="15"/>
              </w:rPr>
              <w:t>2.2%</w:t>
            </w:r>
          </w:p>
        </w:tc>
        <w:tc>
          <w:tcPr>
            <w:tcW w:type="dxa" w:w="1422"/>
          </w:tcPr>
          <w:p>
            <w:pPr>
              <w:spacing w:after="0"/>
              <w:jc w:val="right"/>
            </w:pPr>
            <w:r>
              <w:rPr>
                <w:sz w:val="15"/>
              </w:rPr>
              <w:t>3.2%</w:t>
            </w:r>
          </w:p>
        </w:tc>
        <w:tc>
          <w:tcPr>
            <w:tcW w:type="dxa" w:w="1422"/>
          </w:tcPr>
          <w:p>
            <w:pPr>
              <w:spacing w:after="0"/>
              <w:jc w:val="right"/>
            </w:pPr>
            <w:r>
              <w:rPr>
                <w:sz w:val="15"/>
              </w:rPr>
              <w:t>n/d</w:t>
            </w:r>
          </w:p>
        </w:tc>
      </w:tr>
      <w:tr>
        <w:tc>
          <w:tcPr>
            <w:tcW w:type="dxa" w:w="2252"/>
          </w:tcPr>
          <w:p>
            <w:pPr>
              <w:spacing w:after="0"/>
            </w:pPr>
            <w:r>
              <w:rPr>
                <w:sz w:val="15"/>
              </w:rPr>
              <w:t>Q4-20</w:t>
            </w:r>
          </w:p>
        </w:tc>
        <w:tc>
          <w:tcPr>
            <w:tcW w:type="dxa" w:w="1422"/>
          </w:tcPr>
          <w:p>
            <w:pPr>
              <w:spacing w:after="0"/>
              <w:jc w:val="right"/>
            </w:pPr>
            <w:r>
              <w:rPr>
                <w:sz w:val="15"/>
              </w:rPr>
              <w:t>10,842.1</w:t>
            </w:r>
          </w:p>
        </w:tc>
        <w:tc>
          <w:tcPr>
            <w:tcW w:type="dxa" w:w="1422"/>
          </w:tcPr>
          <w:p>
            <w:pPr>
              <w:spacing w:after="0"/>
              <w:jc w:val="right"/>
            </w:pPr>
            <w:r>
              <w:rPr>
                <w:sz w:val="15"/>
              </w:rPr>
              <w:t>119</w:t>
            </w:r>
          </w:p>
        </w:tc>
        <w:tc>
          <w:tcPr>
            <w:tcW w:type="dxa" w:w="1422"/>
          </w:tcPr>
          <w:p>
            <w:pPr>
              <w:spacing w:after="0"/>
              <w:jc w:val="right"/>
            </w:pPr>
            <w:r>
              <w:rPr>
                <w:sz w:val="15"/>
              </w:rPr>
              <w:t>0.5%</w:t>
            </w:r>
          </w:p>
        </w:tc>
        <w:tc>
          <w:tcPr>
            <w:tcW w:type="dxa" w:w="1422"/>
          </w:tcPr>
          <w:p>
            <w:pPr>
              <w:spacing w:after="0"/>
              <w:jc w:val="right"/>
            </w:pPr>
            <w:r>
              <w:rPr>
                <w:sz w:val="15"/>
              </w:rPr>
              <w:t>2.0%</w:t>
            </w:r>
          </w:p>
        </w:tc>
        <w:tc>
          <w:tcPr>
            <w:tcW w:type="dxa" w:w="1422"/>
          </w:tcPr>
          <w:p>
            <w:pPr>
              <w:spacing w:after="0"/>
              <w:jc w:val="right"/>
            </w:pPr>
            <w:r>
              <w:rPr>
                <w:sz w:val="15"/>
              </w:rPr>
              <w:t>n/d</w:t>
            </w:r>
          </w:p>
        </w:tc>
      </w:tr>
      <w:tr>
        <w:tc>
          <w:tcPr>
            <w:tcW w:type="dxa" w:w="2252"/>
          </w:tcPr>
          <w:p>
            <w:pPr>
              <w:spacing w:after="0"/>
            </w:pPr>
            <w:r>
              <w:rPr>
                <w:sz w:val="15"/>
              </w:rPr>
              <w:t>Q4-22</w:t>
            </w:r>
          </w:p>
        </w:tc>
        <w:tc>
          <w:tcPr>
            <w:tcW w:type="dxa" w:w="1422"/>
          </w:tcPr>
          <w:p>
            <w:pPr>
              <w:spacing w:after="0"/>
              <w:jc w:val="right"/>
            </w:pPr>
            <w:r>
              <w:rPr>
                <w:sz w:val="15"/>
              </w:rPr>
              <w:t>13,010.3</w:t>
            </w:r>
          </w:p>
        </w:tc>
        <w:tc>
          <w:tcPr>
            <w:tcW w:type="dxa" w:w="1422"/>
          </w:tcPr>
          <w:p>
            <w:pPr>
              <w:spacing w:after="0"/>
              <w:jc w:val="right"/>
            </w:pPr>
            <w:r>
              <w:rPr>
                <w:sz w:val="15"/>
              </w:rPr>
              <w:t>184</w:t>
            </w:r>
          </w:p>
        </w:tc>
        <w:tc>
          <w:tcPr>
            <w:tcW w:type="dxa" w:w="1422"/>
          </w:tcPr>
          <w:p>
            <w:pPr>
              <w:spacing w:after="0"/>
              <w:jc w:val="right"/>
            </w:pPr>
            <w:r>
              <w:rPr>
                <w:sz w:val="15"/>
              </w:rPr>
              <w:t>1.9%</w:t>
            </w:r>
          </w:p>
        </w:tc>
        <w:tc>
          <w:tcPr>
            <w:tcW w:type="dxa" w:w="1422"/>
          </w:tcPr>
          <w:p>
            <w:pPr>
              <w:spacing w:after="0"/>
              <w:jc w:val="right"/>
            </w:pPr>
            <w:r>
              <w:rPr>
                <w:sz w:val="15"/>
              </w:rPr>
              <w:t>1.2%</w:t>
            </w:r>
          </w:p>
        </w:tc>
        <w:tc>
          <w:tcPr>
            <w:tcW w:type="dxa" w:w="1422"/>
          </w:tcPr>
          <w:p>
            <w:pPr>
              <w:spacing w:after="0"/>
              <w:jc w:val="right"/>
            </w:pPr>
            <w:r>
              <w:rPr>
                <w:sz w:val="15"/>
              </w:rPr>
              <w:t>6.8%</w:t>
            </w:r>
          </w:p>
        </w:tc>
      </w:tr>
      <w:tr>
        <w:tc>
          <w:tcPr>
            <w:tcW w:type="dxa" w:w="2252"/>
          </w:tcPr>
          <w:p>
            <w:pPr>
              <w:spacing w:after="0"/>
            </w:pPr>
            <w:r>
              <w:rPr>
                <w:sz w:val="15"/>
              </w:rPr>
              <w:t>Q4-23</w:t>
            </w:r>
          </w:p>
        </w:tc>
        <w:tc>
          <w:tcPr>
            <w:tcW w:type="dxa" w:w="1422"/>
          </w:tcPr>
          <w:p>
            <w:pPr>
              <w:spacing w:after="0"/>
              <w:jc w:val="right"/>
            </w:pPr>
            <w:r>
              <w:rPr>
                <w:sz w:val="15"/>
              </w:rPr>
              <w:t>12,713.3</w:t>
            </w:r>
          </w:p>
        </w:tc>
        <w:tc>
          <w:tcPr>
            <w:tcW w:type="dxa" w:w="1422"/>
          </w:tcPr>
          <w:p>
            <w:pPr>
              <w:spacing w:after="0"/>
              <w:jc w:val="right"/>
            </w:pPr>
            <w:r>
              <w:rPr>
                <w:sz w:val="15"/>
              </w:rPr>
              <w:t>193</w:t>
            </w:r>
          </w:p>
        </w:tc>
        <w:tc>
          <w:tcPr>
            <w:tcW w:type="dxa" w:w="1422"/>
          </w:tcPr>
          <w:p>
            <w:pPr>
              <w:spacing w:after="0"/>
              <w:jc w:val="right"/>
            </w:pPr>
            <w:r>
              <w:rPr>
                <w:sz w:val="15"/>
              </w:rPr>
              <w:t>1.3%</w:t>
            </w:r>
          </w:p>
        </w:tc>
        <w:tc>
          <w:tcPr>
            <w:tcW w:type="dxa" w:w="1422"/>
          </w:tcPr>
          <w:p>
            <w:pPr>
              <w:spacing w:after="0"/>
              <w:jc w:val="right"/>
            </w:pPr>
            <w:r>
              <w:rPr>
                <w:sz w:val="15"/>
              </w:rPr>
              <w:t>1.7%</w:t>
            </w:r>
          </w:p>
        </w:tc>
        <w:tc>
          <w:tcPr>
            <w:tcW w:type="dxa" w:w="1422"/>
          </w:tcPr>
          <w:p>
            <w:pPr>
              <w:spacing w:after="0"/>
              <w:jc w:val="right"/>
            </w:pPr>
            <w:r>
              <w:rPr>
                <w:sz w:val="15"/>
              </w:rPr>
              <w:t>6.8%</w:t>
            </w:r>
          </w:p>
        </w:tc>
      </w:tr>
      <w:tr>
        <w:tc>
          <w:tcPr>
            <w:tcW w:type="dxa" w:w="2252"/>
          </w:tcPr>
          <w:p>
            <w:pPr>
              <w:spacing w:after="0"/>
            </w:pPr>
            <w:r>
              <w:rPr>
                <w:sz w:val="15"/>
              </w:rPr>
              <w:t>Q2-24</w:t>
            </w:r>
          </w:p>
        </w:tc>
        <w:tc>
          <w:tcPr>
            <w:tcW w:type="dxa" w:w="1422"/>
          </w:tcPr>
          <w:p>
            <w:pPr>
              <w:spacing w:after="0"/>
              <w:jc w:val="right"/>
            </w:pPr>
            <w:r>
              <w:rPr>
                <w:sz w:val="15"/>
              </w:rPr>
              <w:t>13,342.0</w:t>
            </w:r>
          </w:p>
        </w:tc>
        <w:tc>
          <w:tcPr>
            <w:tcW w:type="dxa" w:w="1422"/>
          </w:tcPr>
          <w:p>
            <w:pPr>
              <w:spacing w:after="0"/>
              <w:jc w:val="right"/>
            </w:pPr>
            <w:r>
              <w:rPr>
                <w:sz w:val="15"/>
              </w:rPr>
              <w:t>212</w:t>
            </w:r>
          </w:p>
        </w:tc>
        <w:tc>
          <w:tcPr>
            <w:tcW w:type="dxa" w:w="1422"/>
          </w:tcPr>
          <w:p>
            <w:pPr>
              <w:spacing w:after="0"/>
              <w:jc w:val="right"/>
            </w:pPr>
            <w:r>
              <w:rPr>
                <w:sz w:val="15"/>
              </w:rPr>
              <w:t>3.1%</w:t>
            </w:r>
          </w:p>
        </w:tc>
        <w:tc>
          <w:tcPr>
            <w:tcW w:type="dxa" w:w="1422"/>
          </w:tcPr>
          <w:p>
            <w:pPr>
              <w:spacing w:after="0"/>
              <w:jc w:val="right"/>
            </w:pPr>
            <w:r>
              <w:rPr>
                <w:sz w:val="15"/>
              </w:rPr>
              <w:t>1.5%</w:t>
            </w:r>
          </w:p>
        </w:tc>
        <w:tc>
          <w:tcPr>
            <w:tcW w:type="dxa" w:w="1422"/>
          </w:tcPr>
          <w:p>
            <w:pPr>
              <w:spacing w:after="0"/>
              <w:jc w:val="right"/>
            </w:pPr>
            <w:r>
              <w:rPr>
                <w:sz w:val="15"/>
              </w:rPr>
              <w:t>6.4%</w:t>
            </w:r>
          </w:p>
        </w:tc>
      </w:tr>
      <w:tr>
        <w:tc>
          <w:tcPr>
            <w:tcW w:type="dxa" w:w="2252"/>
          </w:tcPr>
          <w:p>
            <w:pPr>
              <w:spacing w:after="0"/>
            </w:pPr>
            <w:r>
              <w:rPr>
                <w:sz w:val="15"/>
              </w:rPr>
              <w:t>Q4-24</w:t>
            </w:r>
          </w:p>
        </w:tc>
        <w:tc>
          <w:tcPr>
            <w:tcW w:type="dxa" w:w="1422"/>
          </w:tcPr>
          <w:p>
            <w:pPr>
              <w:spacing w:after="0"/>
              <w:jc w:val="right"/>
            </w:pPr>
            <w:r>
              <w:rPr>
                <w:sz w:val="15"/>
              </w:rPr>
              <w:t>13,194.5</w:t>
            </w:r>
          </w:p>
        </w:tc>
        <w:tc>
          <w:tcPr>
            <w:tcW w:type="dxa" w:w="1422"/>
          </w:tcPr>
          <w:p>
            <w:pPr>
              <w:spacing w:after="0"/>
              <w:jc w:val="right"/>
            </w:pPr>
            <w:r>
              <w:rPr>
                <w:sz w:val="15"/>
              </w:rPr>
              <w:t>227</w:t>
            </w:r>
          </w:p>
        </w:tc>
        <w:tc>
          <w:tcPr>
            <w:tcW w:type="dxa" w:w="1422"/>
          </w:tcPr>
          <w:p>
            <w:pPr>
              <w:spacing w:after="0"/>
              <w:jc w:val="right"/>
            </w:pPr>
            <w:r>
              <w:rPr>
                <w:sz w:val="15"/>
              </w:rPr>
              <w:t>2.2%</w:t>
            </w:r>
          </w:p>
        </w:tc>
        <w:tc>
          <w:tcPr>
            <w:tcW w:type="dxa" w:w="1422"/>
          </w:tcPr>
          <w:p>
            <w:pPr>
              <w:spacing w:after="0"/>
              <w:jc w:val="right"/>
            </w:pPr>
            <w:r>
              <w:rPr>
                <w:sz w:val="15"/>
              </w:rPr>
              <w:t>1.4%</w:t>
            </w:r>
          </w:p>
        </w:tc>
        <w:tc>
          <w:tcPr>
            <w:tcW w:type="dxa" w:w="1422"/>
          </w:tcPr>
          <w:p>
            <w:pPr>
              <w:spacing w:after="0"/>
              <w:jc w:val="right"/>
            </w:pPr>
            <w:r>
              <w:rPr>
                <w:sz w:val="15"/>
              </w:rPr>
              <w:t>6.2%</w:t>
            </w:r>
          </w:p>
        </w:tc>
      </w:tr>
      <w:tr>
        <w:tc>
          <w:tcPr>
            <w:tcW w:type="dxa" w:w="2252"/>
          </w:tcPr>
          <w:p>
            <w:pPr>
              <w:spacing w:after="0"/>
            </w:pPr>
            <w:r>
              <w:rPr>
                <w:sz w:val="15"/>
              </w:rPr>
              <w:t>Q2-25</w:t>
            </w:r>
          </w:p>
        </w:tc>
        <w:tc>
          <w:tcPr>
            <w:tcW w:type="dxa" w:w="1422"/>
          </w:tcPr>
          <w:p>
            <w:pPr>
              <w:spacing w:after="0"/>
              <w:jc w:val="right"/>
            </w:pPr>
            <w:r>
              <w:rPr>
                <w:sz w:val="15"/>
              </w:rPr>
              <w:t>16,868.8</w:t>
            </w:r>
          </w:p>
        </w:tc>
        <w:tc>
          <w:tcPr>
            <w:tcW w:type="dxa" w:w="1422"/>
          </w:tcPr>
          <w:p>
            <w:pPr>
              <w:spacing w:after="0"/>
              <w:jc w:val="right"/>
            </w:pPr>
            <w:r>
              <w:rPr>
                <w:sz w:val="15"/>
              </w:rPr>
              <w:t>233</w:t>
            </w:r>
          </w:p>
        </w:tc>
        <w:tc>
          <w:tcPr>
            <w:tcW w:type="dxa" w:w="1422"/>
          </w:tcPr>
          <w:p>
            <w:pPr>
              <w:spacing w:after="0"/>
              <w:jc w:val="right"/>
            </w:pPr>
            <w:r>
              <w:rPr>
                <w:sz w:val="15"/>
              </w:rPr>
              <w:t>1.8%</w:t>
            </w:r>
          </w:p>
        </w:tc>
        <w:tc>
          <w:tcPr>
            <w:tcW w:type="dxa" w:w="1422"/>
          </w:tcPr>
          <w:p>
            <w:pPr>
              <w:spacing w:after="0"/>
              <w:jc w:val="right"/>
            </w:pPr>
            <w:r>
              <w:rPr>
                <w:sz w:val="15"/>
              </w:rPr>
              <w:t>0.8%</w:t>
            </w:r>
          </w:p>
        </w:tc>
        <w:tc>
          <w:tcPr>
            <w:tcW w:type="dxa" w:w="1422"/>
          </w:tcPr>
          <w:p>
            <w:pPr>
              <w:spacing w:after="0"/>
              <w:jc w:val="right"/>
            </w:pPr>
            <w:r>
              <w:rPr>
                <w:sz w:val="15"/>
              </w:rPr>
              <w:t>6.0%</w:t>
            </w:r>
          </w:p>
        </w:tc>
      </w:tr>
      <w:tr>
        <w:tc>
          <w:tcPr>
            <w:tcW w:type="dxa" w:w="2252"/>
          </w:tcPr>
          <w:p>
            <w:pPr>
              <w:spacing w:after="0"/>
            </w:pPr>
            <w:r>
              <w:rPr>
                <w:sz w:val="15"/>
              </w:rPr>
              <w:t>Q3-25</w:t>
            </w:r>
          </w:p>
        </w:tc>
        <w:tc>
          <w:tcPr>
            <w:tcW w:type="dxa" w:w="1422"/>
          </w:tcPr>
          <w:p>
            <w:pPr>
              <w:spacing w:after="0"/>
              <w:jc w:val="right"/>
            </w:pPr>
            <w:r>
              <w:rPr>
                <w:sz w:val="15"/>
              </w:rPr>
              <w:t>17,136.5</w:t>
            </w:r>
          </w:p>
        </w:tc>
        <w:tc>
          <w:tcPr>
            <w:tcW w:type="dxa" w:w="1422"/>
          </w:tcPr>
          <w:p>
            <w:pPr>
              <w:spacing w:after="0"/>
              <w:jc w:val="right"/>
            </w:pPr>
            <w:r>
              <w:rPr>
                <w:sz w:val="15"/>
              </w:rPr>
              <w:t>238</w:t>
            </w:r>
          </w:p>
        </w:tc>
        <w:tc>
          <w:tcPr>
            <w:tcW w:type="dxa" w:w="1422"/>
          </w:tcPr>
          <w:p>
            <w:pPr>
              <w:spacing w:after="0"/>
              <w:jc w:val="right"/>
            </w:pPr>
            <w:r>
              <w:rPr>
                <w:sz w:val="15"/>
              </w:rPr>
              <w:t>3.2%</w:t>
            </w:r>
          </w:p>
        </w:tc>
        <w:tc>
          <w:tcPr>
            <w:tcW w:type="dxa" w:w="1422"/>
          </w:tcPr>
          <w:p>
            <w:pPr>
              <w:spacing w:after="0"/>
              <w:jc w:val="right"/>
            </w:pPr>
            <w:r>
              <w:rPr>
                <w:sz w:val="15"/>
              </w:rPr>
              <w:t>1.4%</w:t>
            </w:r>
          </w:p>
        </w:tc>
        <w:tc>
          <w:tcPr>
            <w:tcW w:type="dxa" w:w="1422"/>
          </w:tcPr>
          <w:p>
            <w:pPr>
              <w:spacing w:after="0"/>
              <w:jc w:val="right"/>
            </w:pPr>
            <w:r>
              <w:rPr>
                <w:sz w:val="15"/>
              </w:rPr>
              <w:t>5.7%</w:t>
            </w:r>
          </w:p>
        </w:tc>
      </w:tr>
      <w:tr>
        <w:tc>
          <w:tcPr>
            <w:tcW w:type="dxa" w:w="2252"/>
          </w:tcPr>
          <w:p>
            <w:pPr>
              <w:spacing w:after="0"/>
            </w:pPr>
            <w:r>
              <w:rPr>
                <w:sz w:val="15"/>
              </w:rPr>
              <w:t>Q4-25</w:t>
            </w:r>
          </w:p>
        </w:tc>
        <w:tc>
          <w:tcPr>
            <w:tcW w:type="dxa" w:w="1422"/>
          </w:tcPr>
          <w:p>
            <w:pPr>
              <w:spacing w:after="0"/>
              <w:jc w:val="right"/>
            </w:pPr>
            <w:r>
              <w:rPr>
                <w:sz w:val="15"/>
              </w:rPr>
              <w:t>16,470.9</w:t>
            </w:r>
          </w:p>
        </w:tc>
        <w:tc>
          <w:tcPr>
            <w:tcW w:type="dxa" w:w="1422"/>
          </w:tcPr>
          <w:p>
            <w:pPr>
              <w:spacing w:after="0"/>
              <w:jc w:val="right"/>
            </w:pPr>
            <w:r>
              <w:rPr>
                <w:sz w:val="15"/>
              </w:rPr>
              <w:t>234</w:t>
            </w:r>
          </w:p>
        </w:tc>
        <w:tc>
          <w:tcPr>
            <w:tcW w:type="dxa" w:w="1422"/>
          </w:tcPr>
          <w:p>
            <w:pPr>
              <w:spacing w:after="0"/>
              <w:jc w:val="right"/>
            </w:pPr>
            <w:r>
              <w:rPr>
                <w:sz w:val="15"/>
              </w:rPr>
              <w:t>2.7%</w:t>
            </w:r>
          </w:p>
        </w:tc>
        <w:tc>
          <w:tcPr>
            <w:tcW w:type="dxa" w:w="1422"/>
          </w:tcPr>
          <w:p>
            <w:pPr>
              <w:spacing w:after="0"/>
              <w:jc w:val="right"/>
            </w:pPr>
            <w:r>
              <w:rPr>
                <w:sz w:val="15"/>
              </w:rPr>
              <w:t>1.4%</w:t>
            </w:r>
          </w:p>
        </w:tc>
        <w:tc>
          <w:tcPr>
            <w:tcW w:type="dxa" w:w="1422"/>
          </w:tcPr>
          <w:p>
            <w:pPr>
              <w:spacing w:after="0"/>
              <w:jc w:val="right"/>
            </w:pPr>
            <w:r>
              <w:rPr>
                <w:sz w:val="15"/>
              </w:rPr>
              <w:t>5.7%</w:t>
            </w:r>
          </w:p>
        </w:tc>
      </w:tr>
      <w:tr>
        <w:tc>
          <w:tcPr>
            <w:tcW w:type="dxa" w:w="2252"/>
          </w:tcPr>
          <w:p>
            <w:pPr>
              <w:spacing w:after="0"/>
            </w:pPr>
            <w:r>
              <w:rPr>
                <w:sz w:val="15"/>
              </w:rPr>
              <w:t>Q1-26</w:t>
            </w:r>
          </w:p>
        </w:tc>
        <w:tc>
          <w:tcPr>
            <w:tcW w:type="dxa" w:w="1422"/>
          </w:tcPr>
          <w:p>
            <w:pPr>
              <w:spacing w:after="0"/>
              <w:jc w:val="right"/>
            </w:pPr>
            <w:r>
              <w:rPr>
                <w:sz w:val="15"/>
              </w:rPr>
              <w:t>15,344.2</w:t>
            </w:r>
          </w:p>
        </w:tc>
        <w:tc>
          <w:tcPr>
            <w:tcW w:type="dxa" w:w="1422"/>
          </w:tcPr>
          <w:p>
            <w:pPr>
              <w:spacing w:after="0"/>
              <w:jc w:val="right"/>
            </w:pPr>
            <w:r>
              <w:rPr>
                <w:sz w:val="15"/>
              </w:rPr>
              <w:t>230</w:t>
            </w:r>
          </w:p>
        </w:tc>
        <w:tc>
          <w:tcPr>
            <w:tcW w:type="dxa" w:w="1422"/>
          </w:tcPr>
          <w:p>
            <w:pPr>
              <w:spacing w:after="0"/>
              <w:jc w:val="right"/>
            </w:pPr>
            <w:r>
              <w:rPr>
                <w:sz w:val="15"/>
              </w:rPr>
              <w:t>2.0%</w:t>
            </w:r>
          </w:p>
        </w:tc>
        <w:tc>
          <w:tcPr>
            <w:tcW w:type="dxa" w:w="1422"/>
          </w:tcPr>
          <w:p>
            <w:pPr>
              <w:spacing w:after="0"/>
              <w:jc w:val="right"/>
            </w:pPr>
            <w:r>
              <w:rPr>
                <w:sz w:val="15"/>
              </w:rPr>
              <w:t>1.3%</w:t>
            </w:r>
          </w:p>
        </w:tc>
        <w:tc>
          <w:tcPr>
            <w:tcW w:type="dxa" w:w="1422"/>
          </w:tcPr>
          <w:p>
            <w:pPr>
              <w:spacing w:after="0"/>
              <w:jc w:val="right"/>
            </w:pPr>
            <w:r>
              <w:rPr>
                <w:sz w:val="15"/>
              </w:rPr>
              <w:t>5.6%</w:t>
            </w:r>
          </w:p>
        </w:tc>
      </w:tr>
      <w:tr>
        <w:tc>
          <w:tcPr>
            <w:tcW w:type="dxa" w:w="2252"/>
          </w:tcPr>
          <w:p>
            <w:pPr>
              <w:spacing w:after="0"/>
            </w:pPr>
            <w:r>
              <w:rPr>
                <w:sz w:val="15"/>
              </w:rPr>
              <w:t>Q2-26</w:t>
            </w:r>
          </w:p>
        </w:tc>
        <w:tc>
          <w:tcPr>
            <w:tcW w:type="dxa" w:w="1422"/>
          </w:tcPr>
          <w:p>
            <w:pPr>
              <w:spacing w:after="0"/>
              <w:jc w:val="right"/>
            </w:pPr>
            <w:r>
              <w:rPr>
                <w:sz w:val="15"/>
              </w:rPr>
              <w:t>14,955.0</w:t>
            </w:r>
          </w:p>
        </w:tc>
        <w:tc>
          <w:tcPr>
            <w:tcW w:type="dxa" w:w="1422"/>
          </w:tcPr>
          <w:p>
            <w:pPr>
              <w:spacing w:after="0"/>
              <w:jc w:val="right"/>
            </w:pPr>
            <w:r>
              <w:rPr>
                <w:sz w:val="15"/>
              </w:rPr>
              <w:t>229</w:t>
            </w:r>
          </w:p>
        </w:tc>
        <w:tc>
          <w:tcPr>
            <w:tcW w:type="dxa" w:w="1422"/>
          </w:tcPr>
          <w:p>
            <w:pPr>
              <w:spacing w:after="0"/>
              <w:jc w:val="right"/>
            </w:pPr>
            <w:r>
              <w:rPr>
                <w:sz w:val="15"/>
              </w:rPr>
              <w:t>2.8%</w:t>
            </w:r>
          </w:p>
        </w:tc>
        <w:tc>
          <w:tcPr>
            <w:tcW w:type="dxa" w:w="1422"/>
          </w:tcPr>
          <w:p>
            <w:pPr>
              <w:spacing w:after="0"/>
              <w:jc w:val="right"/>
            </w:pPr>
            <w:r>
              <w:rPr>
                <w:sz w:val="15"/>
              </w:rPr>
              <w:t>1.1%</w:t>
            </w:r>
          </w:p>
        </w:tc>
        <w:tc>
          <w:tcPr>
            <w:tcW w:type="dxa" w:w="1422"/>
          </w:tcPr>
          <w:p>
            <w:pPr>
              <w:spacing w:after="0"/>
              <w:jc w:val="right"/>
            </w:pPr>
            <w:r>
              <w:rPr>
                <w:sz w:val="15"/>
              </w:rPr>
              <w:t>5.6%</w:t>
            </w:r>
          </w:p>
        </w:tc>
      </w:tr>
    </w:tbl>
    <w:p>
      <w:pPr>
        <w:spacing w:after="40"/>
      </w:pPr>
    </w:p>
    <w:p>
      <w:pPr>
        <w:spacing w:after="80"/>
      </w:pPr>
      <w:r>
        <w:t>Non-accrual basis: debt investments through Q4-25, total investments from Q1-26 (on the new basis Dec-25 was 2.3%). Rated 4 = some loss of cost basis expected; rated 5 = most of cost basis expected to be lost (OBDC's internal scale). Source: OBDC 10-K and 10-Q filings, Item 2. Exhibit 5.</w:t>
      </w:r>
    </w:p>
    <w:p>
      <w:pPr>
        <w:pStyle w:val="Heading2"/>
      </w:pPr>
      <w:r>
        <w:t>5. Sources and uses and capital structure</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334"/>
        <w:gridCol w:w="1345"/>
        <w:gridCol w:w="3334"/>
        <w:gridCol w:w="1345"/>
      </w:tblGrid>
      <w:tr>
        <w:tc>
          <w:tcPr>
            <w:tcW w:type="dxa" w:w="3335"/>
            <w:shd w:val="clear" w:color="auto" w:fill="E4EAF3"/>
          </w:tcPr>
          <w:p>
            <w:pPr>
              <w:spacing w:after="0"/>
            </w:pPr>
            <w:r>
              <w:rPr>
                <w:b/>
                <w:color w:val="121826"/>
                <w:sz w:val="17"/>
              </w:rPr>
              <w:t>Sources ($M)</w:t>
            </w:r>
          </w:p>
        </w:tc>
        <w:tc>
          <w:tcPr>
            <w:tcW w:type="dxa" w:w="1345"/>
            <w:shd w:val="clear" w:color="auto" w:fill="E4EAF3"/>
          </w:tcPr>
          <w:p>
            <w:pPr>
              <w:spacing w:after="0"/>
            </w:pPr>
            <w:r>
              <w:rPr>
                <w:b/>
                <w:color w:val="121826"/>
                <w:sz w:val="17"/>
              </w:rPr>
              <w:t>Amount</w:t>
            </w:r>
          </w:p>
        </w:tc>
        <w:tc>
          <w:tcPr>
            <w:tcW w:type="dxa" w:w="3335"/>
            <w:shd w:val="clear" w:color="auto" w:fill="E4EAF3"/>
          </w:tcPr>
          <w:p>
            <w:pPr>
              <w:spacing w:after="0"/>
            </w:pPr>
            <w:r>
              <w:rPr>
                <w:b/>
                <w:color w:val="121826"/>
                <w:sz w:val="17"/>
              </w:rPr>
              <w:t>Uses ($M)</w:t>
            </w:r>
          </w:p>
        </w:tc>
        <w:tc>
          <w:tcPr>
            <w:tcW w:type="dxa" w:w="1345"/>
            <w:shd w:val="clear" w:color="auto" w:fill="E4EAF3"/>
          </w:tcPr>
          <w:p>
            <w:pPr>
              <w:spacing w:after="0"/>
            </w:pPr>
            <w:r>
              <w:rPr>
                <w:b/>
                <w:color w:val="121826"/>
                <w:sz w:val="17"/>
              </w:rPr>
              <w:t>Amount</w:t>
            </w:r>
          </w:p>
        </w:tc>
      </w:tr>
      <w:tr>
        <w:tc>
          <w:tcPr>
            <w:tcW w:type="dxa" w:w="3335"/>
          </w:tcPr>
          <w:p>
            <w:pPr>
              <w:spacing w:after="0"/>
            </w:pPr>
            <w:r>
              <w:rPr>
                <w:sz w:val="17"/>
              </w:rPr>
              <w:t>Class A-1, A-F and A-L</w:t>
            </w:r>
          </w:p>
        </w:tc>
        <w:tc>
          <w:tcPr>
            <w:tcW w:type="dxa" w:w="1345"/>
          </w:tcPr>
          <w:p>
            <w:pPr>
              <w:spacing w:after="0"/>
              <w:jc w:val="right"/>
            </w:pPr>
            <w:r>
              <w:rPr>
                <w:sz w:val="17"/>
              </w:rPr>
              <w:t>232.0</w:t>
            </w:r>
          </w:p>
        </w:tc>
        <w:tc>
          <w:tcPr>
            <w:tcW w:type="dxa" w:w="3335"/>
          </w:tcPr>
          <w:p>
            <w:pPr>
              <w:spacing w:after="0"/>
            </w:pPr>
            <w:r>
              <w:rPr>
                <w:sz w:val="17"/>
              </w:rPr>
              <w:t>Initial portfolio from OBDC (funded par)</w:t>
            </w:r>
          </w:p>
        </w:tc>
        <w:tc>
          <w:tcPr>
            <w:tcW w:type="dxa" w:w="1345"/>
          </w:tcPr>
          <w:p>
            <w:pPr>
              <w:spacing w:after="0"/>
              <w:jc w:val="right"/>
            </w:pPr>
            <w:r>
              <w:rPr>
                <w:sz w:val="17"/>
              </w:rPr>
              <w:t>362.067</w:t>
            </w:r>
          </w:p>
        </w:tc>
      </w:tr>
      <w:tr>
        <w:tc>
          <w:tcPr>
            <w:tcW w:type="dxa" w:w="3335"/>
          </w:tcPr>
          <w:p>
            <w:pPr>
              <w:spacing w:after="0"/>
            </w:pPr>
            <w:r>
              <w:rPr>
                <w:sz w:val="17"/>
              </w:rPr>
              <w:t>Class B</w:t>
            </w:r>
          </w:p>
        </w:tc>
        <w:tc>
          <w:tcPr>
            <w:tcW w:type="dxa" w:w="1345"/>
          </w:tcPr>
          <w:p>
            <w:pPr>
              <w:spacing w:after="0"/>
              <w:jc w:val="right"/>
            </w:pPr>
            <w:r>
              <w:rPr>
                <w:sz w:val="17"/>
              </w:rPr>
              <w:t>40.0</w:t>
            </w:r>
          </w:p>
        </w:tc>
        <w:tc>
          <w:tcPr>
            <w:tcW w:type="dxa" w:w="3335"/>
          </w:tcPr>
          <w:p>
            <w:pPr>
              <w:spacing w:after="0"/>
            </w:pPr>
            <w:r>
              <w:rPr>
                <w:sz w:val="17"/>
              </w:rPr>
              <w:t>Ramp-up cash, costs and expenses (balancing item; split n/d)</w:t>
            </w:r>
          </w:p>
        </w:tc>
        <w:tc>
          <w:tcPr>
            <w:tcW w:type="dxa" w:w="1345"/>
          </w:tcPr>
          <w:p>
            <w:pPr>
              <w:spacing w:after="0"/>
              <w:jc w:val="right"/>
            </w:pPr>
            <w:r>
              <w:rPr>
                <w:sz w:val="17"/>
              </w:rPr>
              <w:t>36.083</w:t>
            </w:r>
          </w:p>
        </w:tc>
      </w:tr>
      <w:tr>
        <w:tc>
          <w:tcPr>
            <w:tcW w:type="dxa" w:w="3335"/>
          </w:tcPr>
          <w:p>
            <w:pPr>
              <w:spacing w:after="0"/>
            </w:pPr>
            <w:r>
              <w:rPr>
                <w:sz w:val="17"/>
              </w:rPr>
              <w:t>Class C</w:t>
            </w:r>
          </w:p>
        </w:tc>
        <w:tc>
          <w:tcPr>
            <w:tcW w:type="dxa" w:w="1345"/>
          </w:tcPr>
          <w:p>
            <w:pPr>
              <w:spacing w:after="0"/>
              <w:jc w:val="right"/>
            </w:pPr>
            <w:r>
              <w:rPr>
                <w:sz w:val="17"/>
              </w:rPr>
              <w:t>20.0</w:t>
            </w:r>
          </w:p>
        </w:tc>
        <w:tc>
          <w:tcPr>
            <w:tcW w:type="dxa" w:w="3335"/>
          </w:tcPr>
          <w:p>
            <w:pPr>
              <w:spacing w:after="0"/>
            </w:pPr>
          </w:p>
        </w:tc>
        <w:tc>
          <w:tcPr>
            <w:tcW w:type="dxa" w:w="1345"/>
          </w:tcPr>
          <w:p>
            <w:pPr>
              <w:spacing w:after="0"/>
            </w:pPr>
          </w:p>
        </w:tc>
      </w:tr>
      <w:tr>
        <w:tc>
          <w:tcPr>
            <w:tcW w:type="dxa" w:w="3335"/>
          </w:tcPr>
          <w:p>
            <w:pPr>
              <w:spacing w:after="0"/>
            </w:pPr>
            <w:r>
              <w:rPr>
                <w:sz w:val="17"/>
              </w:rPr>
              <w:t>Preferred Shares (bought by OBDC)</w:t>
            </w:r>
          </w:p>
        </w:tc>
        <w:tc>
          <w:tcPr>
            <w:tcW w:type="dxa" w:w="1345"/>
          </w:tcPr>
          <w:p>
            <w:pPr>
              <w:spacing w:after="0"/>
              <w:jc w:val="right"/>
            </w:pPr>
            <w:r>
              <w:rPr>
                <w:sz w:val="17"/>
              </w:rPr>
              <w:t>106.15</w:t>
            </w:r>
          </w:p>
        </w:tc>
        <w:tc>
          <w:tcPr>
            <w:tcW w:type="dxa" w:w="3335"/>
          </w:tcPr>
          <w:p>
            <w:pPr>
              <w:spacing w:after="0"/>
            </w:pPr>
          </w:p>
        </w:tc>
        <w:tc>
          <w:tcPr>
            <w:tcW w:type="dxa" w:w="1345"/>
          </w:tcPr>
          <w:p>
            <w:pPr>
              <w:spacing w:after="0"/>
            </w:pPr>
          </w:p>
        </w:tc>
      </w:tr>
      <w:tr>
        <w:tc>
          <w:tcPr>
            <w:tcW w:type="dxa" w:w="3335"/>
          </w:tcPr>
          <w:p>
            <w:pPr>
              <w:spacing w:after="0"/>
            </w:pPr>
            <w:r>
              <w:rPr>
                <w:b/>
                <w:sz w:val="17"/>
              </w:rPr>
              <w:t>Total sources</w:t>
            </w:r>
          </w:p>
        </w:tc>
        <w:tc>
          <w:tcPr>
            <w:tcW w:type="dxa" w:w="1345"/>
          </w:tcPr>
          <w:p>
            <w:pPr>
              <w:spacing w:after="0"/>
              <w:jc w:val="right"/>
            </w:pPr>
            <w:r>
              <w:rPr>
                <w:b/>
                <w:sz w:val="17"/>
              </w:rPr>
              <w:t>398.15</w:t>
            </w:r>
          </w:p>
        </w:tc>
        <w:tc>
          <w:tcPr>
            <w:tcW w:type="dxa" w:w="3335"/>
          </w:tcPr>
          <w:p>
            <w:pPr>
              <w:spacing w:after="0"/>
            </w:pPr>
            <w:r>
              <w:rPr>
                <w:b/>
                <w:sz w:val="17"/>
              </w:rPr>
              <w:t>Total uses</w:t>
            </w:r>
          </w:p>
        </w:tc>
        <w:tc>
          <w:tcPr>
            <w:tcW w:type="dxa" w:w="1345"/>
          </w:tcPr>
          <w:p>
            <w:pPr>
              <w:spacing w:after="0"/>
              <w:jc w:val="right"/>
            </w:pPr>
            <w:r>
              <w:rPr>
                <w:b/>
                <w:sz w:val="17"/>
              </w:rPr>
              <w:t>398.15</w:t>
            </w:r>
          </w:p>
        </w:tc>
      </w:tr>
    </w:tbl>
    <w:p>
      <w:pPr>
        <w:spacing w:after="40"/>
      </w:pP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1389"/>
        <w:gridCol w:w="876"/>
        <w:gridCol w:w="876"/>
        <w:gridCol w:w="876"/>
        <w:gridCol w:w="876"/>
        <w:gridCol w:w="876"/>
        <w:gridCol w:w="1389"/>
        <w:gridCol w:w="1319"/>
        <w:gridCol w:w="876"/>
      </w:tblGrid>
      <w:tr>
        <w:tc>
          <w:tcPr>
            <w:tcW w:type="dxa" w:w="1389"/>
            <w:shd w:val="clear" w:color="auto" w:fill="E4EAF3"/>
          </w:tcPr>
          <w:p>
            <w:pPr>
              <w:spacing w:after="0"/>
            </w:pPr>
            <w:r>
              <w:rPr>
                <w:b/>
                <w:color w:val="121826"/>
                <w:sz w:val="14"/>
              </w:rPr>
              <w:t>Class</w:t>
            </w:r>
          </w:p>
        </w:tc>
        <w:tc>
          <w:tcPr>
            <w:tcW w:type="dxa" w:w="877"/>
            <w:shd w:val="clear" w:color="auto" w:fill="E4EAF3"/>
          </w:tcPr>
          <w:p>
            <w:pPr>
              <w:spacing w:after="0"/>
            </w:pPr>
            <w:r>
              <w:rPr>
                <w:b/>
                <w:color w:val="121826"/>
                <w:sz w:val="14"/>
              </w:rPr>
              <w:t>Amount ($M)</w:t>
            </w:r>
          </w:p>
        </w:tc>
        <w:tc>
          <w:tcPr>
            <w:tcW w:type="dxa" w:w="877"/>
            <w:shd w:val="clear" w:color="auto" w:fill="E4EAF3"/>
          </w:tcPr>
          <w:p>
            <w:pPr>
              <w:spacing w:after="0"/>
            </w:pPr>
            <w:r>
              <w:rPr>
                <w:b/>
                <w:color w:val="121826"/>
                <w:sz w:val="14"/>
              </w:rPr>
              <w:t>Share of capitalization</w:t>
            </w:r>
          </w:p>
        </w:tc>
        <w:tc>
          <w:tcPr>
            <w:tcW w:type="dxa" w:w="877"/>
            <w:shd w:val="clear" w:color="auto" w:fill="E4EAF3"/>
          </w:tcPr>
          <w:p>
            <w:pPr>
              <w:spacing w:after="0"/>
            </w:pPr>
            <w:r>
              <w:rPr>
                <w:b/>
                <w:color w:val="121826"/>
                <w:sz w:val="14"/>
              </w:rPr>
              <w:t>Cumulative ($M)</w:t>
            </w:r>
          </w:p>
        </w:tc>
        <w:tc>
          <w:tcPr>
            <w:tcW w:type="dxa" w:w="877"/>
            <w:shd w:val="clear" w:color="auto" w:fill="E4EAF3"/>
          </w:tcPr>
          <w:p>
            <w:pPr>
              <w:spacing w:after="0"/>
            </w:pPr>
            <w:r>
              <w:rPr>
                <w:b/>
                <w:color w:val="121826"/>
                <w:sz w:val="14"/>
              </w:rPr>
              <w:t>Attachment</w:t>
            </w:r>
          </w:p>
        </w:tc>
        <w:tc>
          <w:tcPr>
            <w:tcW w:type="dxa" w:w="877"/>
            <w:shd w:val="clear" w:color="auto" w:fill="E4EAF3"/>
          </w:tcPr>
          <w:p>
            <w:pPr>
              <w:spacing w:after="0"/>
            </w:pPr>
            <w:r>
              <w:rPr>
                <w:b/>
                <w:color w:val="121826"/>
                <w:sz w:val="14"/>
              </w:rPr>
              <w:t>Detachment</w:t>
            </w:r>
          </w:p>
        </w:tc>
        <w:tc>
          <w:tcPr>
            <w:tcW w:type="dxa" w:w="1389"/>
            <w:shd w:val="clear" w:color="auto" w:fill="E4EAF3"/>
          </w:tcPr>
          <w:p>
            <w:pPr>
              <w:spacing w:after="0"/>
            </w:pPr>
            <w:r>
              <w:rPr>
                <w:b/>
                <w:color w:val="121826"/>
                <w:sz w:val="14"/>
              </w:rPr>
              <w:t>Rating (S&amp;P)</w:t>
            </w:r>
          </w:p>
        </w:tc>
        <w:tc>
          <w:tcPr>
            <w:tcW w:type="dxa" w:w="1320"/>
            <w:shd w:val="clear" w:color="auto" w:fill="E4EAF3"/>
          </w:tcPr>
          <w:p>
            <w:pPr>
              <w:spacing w:after="0"/>
            </w:pPr>
            <w:r>
              <w:rPr>
                <w:b/>
                <w:color w:val="121826"/>
                <w:sz w:val="14"/>
              </w:rPr>
              <w:t>Coupon</w:t>
            </w:r>
          </w:p>
        </w:tc>
        <w:tc>
          <w:tcPr>
            <w:tcW w:type="dxa" w:w="877"/>
            <w:shd w:val="clear" w:color="auto" w:fill="E4EAF3"/>
          </w:tcPr>
          <w:p>
            <w:pPr>
              <w:spacing w:after="0"/>
            </w:pPr>
            <w:r>
              <w:rPr>
                <w:b/>
                <w:color w:val="121826"/>
                <w:sz w:val="14"/>
              </w:rPr>
              <w:t>Stated Maturity</w:t>
            </w:r>
          </w:p>
        </w:tc>
      </w:tr>
      <w:tr>
        <w:tc>
          <w:tcPr>
            <w:tcW w:type="dxa" w:w="1389"/>
          </w:tcPr>
          <w:p>
            <w:pPr>
              <w:spacing w:after="0"/>
            </w:pPr>
            <w:r>
              <w:rPr>
                <w:sz w:val="14"/>
              </w:rPr>
              <w:t>Class A-1 Notes</w:t>
            </w:r>
          </w:p>
        </w:tc>
        <w:tc>
          <w:tcPr>
            <w:tcW w:type="dxa" w:w="877"/>
          </w:tcPr>
          <w:p>
            <w:pPr>
              <w:spacing w:after="0"/>
              <w:jc w:val="right"/>
            </w:pPr>
            <w:r>
              <w:rPr>
                <w:sz w:val="14"/>
              </w:rPr>
              <w:t>182.0</w:t>
            </w:r>
          </w:p>
        </w:tc>
        <w:tc>
          <w:tcPr>
            <w:tcW w:type="dxa" w:w="877"/>
          </w:tcPr>
          <w:p>
            <w:pPr>
              <w:spacing w:after="0"/>
              <w:jc w:val="right"/>
            </w:pPr>
            <w:r>
              <w:rPr>
                <w:sz w:val="14"/>
              </w:rPr>
              <w:t>45.7%</w:t>
            </w:r>
          </w:p>
        </w:tc>
        <w:tc>
          <w:tcPr>
            <w:tcW w:type="dxa" w:w="877"/>
          </w:tcPr>
          <w:p>
            <w:pPr>
              <w:spacing w:after="0"/>
              <w:jc w:val="right"/>
            </w:pPr>
            <w:r>
              <w:rPr>
                <w:sz w:val="14"/>
              </w:rPr>
              <w:t>232.00</w:t>
            </w:r>
          </w:p>
        </w:tc>
        <w:tc>
          <w:tcPr>
            <w:tcW w:type="dxa" w:w="877"/>
          </w:tcPr>
          <w:p>
            <w:pPr>
              <w:spacing w:after="0"/>
              <w:jc w:val="right"/>
            </w:pPr>
            <w:r>
              <w:rPr>
                <w:sz w:val="14"/>
              </w:rPr>
              <w:t>41.7%</w:t>
            </w:r>
          </w:p>
        </w:tc>
        <w:tc>
          <w:tcPr>
            <w:tcW w:type="dxa" w:w="877"/>
          </w:tcPr>
          <w:p>
            <w:pPr>
              <w:spacing w:after="0"/>
              <w:jc w:val="right"/>
            </w:pPr>
            <w:r>
              <w:rPr>
                <w:sz w:val="14"/>
              </w:rPr>
              <w:t>100.0%</w:t>
            </w:r>
          </w:p>
        </w:tc>
        <w:tc>
          <w:tcPr>
            <w:tcW w:type="dxa" w:w="1389"/>
          </w:tcPr>
          <w:p>
            <w:pPr>
              <w:spacing w:after="0"/>
            </w:pPr>
            <w:r>
              <w:rPr>
                <w:sz w:val="14"/>
              </w:rPr>
              <w:t>AAA (sf)</w:t>
            </w:r>
          </w:p>
        </w:tc>
        <w:tc>
          <w:tcPr>
            <w:tcW w:type="dxa" w:w="1320"/>
          </w:tcPr>
          <w:p>
            <w:pPr>
              <w:spacing w:after="0"/>
            </w:pPr>
            <w:r>
              <w:rPr>
                <w:sz w:val="14"/>
              </w:rPr>
              <w:t>3M SOFR + 1.48%</w:t>
            </w:r>
          </w:p>
        </w:tc>
        <w:tc>
          <w:tcPr>
            <w:tcW w:type="dxa" w:w="877"/>
          </w:tcPr>
          <w:p>
            <w:pPr>
              <w:spacing w:after="0"/>
            </w:pPr>
            <w:r>
              <w:rPr>
                <w:sz w:val="14"/>
              </w:rPr>
              <w:t>Jul 2038</w:t>
            </w:r>
          </w:p>
        </w:tc>
      </w:tr>
      <w:tr>
        <w:tc>
          <w:tcPr>
            <w:tcW w:type="dxa" w:w="1389"/>
          </w:tcPr>
          <w:p>
            <w:pPr>
              <w:spacing w:after="0"/>
            </w:pPr>
            <w:r>
              <w:rPr>
                <w:sz w:val="14"/>
              </w:rPr>
              <w:t>Class A-F Notes</w:t>
            </w:r>
          </w:p>
        </w:tc>
        <w:tc>
          <w:tcPr>
            <w:tcW w:type="dxa" w:w="877"/>
          </w:tcPr>
          <w:p>
            <w:pPr>
              <w:spacing w:after="0"/>
              <w:jc w:val="right"/>
            </w:pPr>
            <w:r>
              <w:rPr>
                <w:sz w:val="14"/>
              </w:rPr>
              <w:t>25.0</w:t>
            </w:r>
          </w:p>
        </w:tc>
        <w:tc>
          <w:tcPr>
            <w:tcW w:type="dxa" w:w="877"/>
          </w:tcPr>
          <w:p>
            <w:pPr>
              <w:spacing w:after="0"/>
              <w:jc w:val="right"/>
            </w:pPr>
            <w:r>
              <w:rPr>
                <w:sz w:val="14"/>
              </w:rPr>
              <w:t>6.3%</w:t>
            </w:r>
          </w:p>
        </w:tc>
        <w:tc>
          <w:tcPr>
            <w:tcW w:type="dxa" w:w="877"/>
          </w:tcPr>
          <w:p>
            <w:pPr>
              <w:spacing w:after="0"/>
              <w:jc w:val="right"/>
            </w:pPr>
            <w:r>
              <w:rPr>
                <w:sz w:val="14"/>
              </w:rPr>
              <w:t>232.00</w:t>
            </w:r>
          </w:p>
        </w:tc>
        <w:tc>
          <w:tcPr>
            <w:tcW w:type="dxa" w:w="877"/>
          </w:tcPr>
          <w:p>
            <w:pPr>
              <w:spacing w:after="0"/>
              <w:jc w:val="right"/>
            </w:pPr>
            <w:r>
              <w:rPr>
                <w:sz w:val="14"/>
              </w:rPr>
              <w:t>41.7%</w:t>
            </w:r>
          </w:p>
        </w:tc>
        <w:tc>
          <w:tcPr>
            <w:tcW w:type="dxa" w:w="877"/>
          </w:tcPr>
          <w:p>
            <w:pPr>
              <w:spacing w:after="0"/>
              <w:jc w:val="right"/>
            </w:pPr>
            <w:r>
              <w:rPr>
                <w:sz w:val="14"/>
              </w:rPr>
              <w:t>100.0%</w:t>
            </w:r>
          </w:p>
        </w:tc>
        <w:tc>
          <w:tcPr>
            <w:tcW w:type="dxa" w:w="1389"/>
          </w:tcPr>
          <w:p>
            <w:pPr>
              <w:spacing w:after="0"/>
            </w:pPr>
            <w:r>
              <w:rPr>
                <w:sz w:val="14"/>
              </w:rPr>
              <w:t>AAA (sf)</w:t>
            </w:r>
          </w:p>
        </w:tc>
        <w:tc>
          <w:tcPr>
            <w:tcW w:type="dxa" w:w="1320"/>
          </w:tcPr>
          <w:p>
            <w:pPr>
              <w:spacing w:after="0"/>
            </w:pPr>
            <w:r>
              <w:rPr>
                <w:sz w:val="14"/>
              </w:rPr>
              <w:t>5.54% fixed</w:t>
            </w:r>
          </w:p>
        </w:tc>
        <w:tc>
          <w:tcPr>
            <w:tcW w:type="dxa" w:w="877"/>
          </w:tcPr>
          <w:p>
            <w:pPr>
              <w:spacing w:after="0"/>
            </w:pPr>
            <w:r>
              <w:rPr>
                <w:sz w:val="14"/>
              </w:rPr>
              <w:t>Jul 2038</w:t>
            </w:r>
          </w:p>
        </w:tc>
      </w:tr>
      <w:tr>
        <w:tc>
          <w:tcPr>
            <w:tcW w:type="dxa" w:w="1389"/>
          </w:tcPr>
          <w:p>
            <w:pPr>
              <w:spacing w:after="0"/>
            </w:pPr>
            <w:r>
              <w:rPr>
                <w:sz w:val="14"/>
              </w:rPr>
              <w:t>Class A-L Loans</w:t>
            </w:r>
          </w:p>
        </w:tc>
        <w:tc>
          <w:tcPr>
            <w:tcW w:type="dxa" w:w="877"/>
          </w:tcPr>
          <w:p>
            <w:pPr>
              <w:spacing w:after="0"/>
              <w:jc w:val="right"/>
            </w:pPr>
            <w:r>
              <w:rPr>
                <w:sz w:val="14"/>
              </w:rPr>
              <w:t>25.0</w:t>
            </w:r>
          </w:p>
        </w:tc>
        <w:tc>
          <w:tcPr>
            <w:tcW w:type="dxa" w:w="877"/>
          </w:tcPr>
          <w:p>
            <w:pPr>
              <w:spacing w:after="0"/>
              <w:jc w:val="right"/>
            </w:pPr>
            <w:r>
              <w:rPr>
                <w:sz w:val="14"/>
              </w:rPr>
              <w:t>6.3%</w:t>
            </w:r>
          </w:p>
        </w:tc>
        <w:tc>
          <w:tcPr>
            <w:tcW w:type="dxa" w:w="877"/>
          </w:tcPr>
          <w:p>
            <w:pPr>
              <w:spacing w:after="0"/>
              <w:jc w:val="right"/>
            </w:pPr>
            <w:r>
              <w:rPr>
                <w:sz w:val="14"/>
              </w:rPr>
              <w:t>232.00</w:t>
            </w:r>
          </w:p>
        </w:tc>
        <w:tc>
          <w:tcPr>
            <w:tcW w:type="dxa" w:w="877"/>
          </w:tcPr>
          <w:p>
            <w:pPr>
              <w:spacing w:after="0"/>
              <w:jc w:val="right"/>
            </w:pPr>
            <w:r>
              <w:rPr>
                <w:sz w:val="14"/>
              </w:rPr>
              <w:t>41.7%</w:t>
            </w:r>
          </w:p>
        </w:tc>
        <w:tc>
          <w:tcPr>
            <w:tcW w:type="dxa" w:w="877"/>
          </w:tcPr>
          <w:p>
            <w:pPr>
              <w:spacing w:after="0"/>
              <w:jc w:val="right"/>
            </w:pPr>
            <w:r>
              <w:rPr>
                <w:sz w:val="14"/>
              </w:rPr>
              <w:t>100.0%</w:t>
            </w:r>
          </w:p>
        </w:tc>
        <w:tc>
          <w:tcPr>
            <w:tcW w:type="dxa" w:w="1389"/>
          </w:tcPr>
          <w:p>
            <w:pPr>
              <w:spacing w:after="0"/>
            </w:pPr>
            <w:r>
              <w:rPr>
                <w:sz w:val="14"/>
              </w:rPr>
              <w:t>AAA (sf)</w:t>
            </w:r>
          </w:p>
        </w:tc>
        <w:tc>
          <w:tcPr>
            <w:tcW w:type="dxa" w:w="1320"/>
          </w:tcPr>
          <w:p>
            <w:pPr>
              <w:spacing w:after="0"/>
            </w:pPr>
            <w:r>
              <w:rPr>
                <w:sz w:val="14"/>
              </w:rPr>
              <w:t>3M SOFR + 1.48%</w:t>
            </w:r>
          </w:p>
        </w:tc>
        <w:tc>
          <w:tcPr>
            <w:tcW w:type="dxa" w:w="877"/>
          </w:tcPr>
          <w:p>
            <w:pPr>
              <w:spacing w:after="0"/>
            </w:pPr>
            <w:r>
              <w:rPr>
                <w:sz w:val="14"/>
              </w:rPr>
              <w:t>Jul 2038</w:t>
            </w:r>
          </w:p>
        </w:tc>
      </w:tr>
      <w:tr>
        <w:tc>
          <w:tcPr>
            <w:tcW w:type="dxa" w:w="1389"/>
          </w:tcPr>
          <w:p>
            <w:pPr>
              <w:spacing w:after="0"/>
            </w:pPr>
            <w:r>
              <w:rPr>
                <w:sz w:val="14"/>
              </w:rPr>
              <w:t>Class B Notes</w:t>
            </w:r>
          </w:p>
        </w:tc>
        <w:tc>
          <w:tcPr>
            <w:tcW w:type="dxa" w:w="877"/>
          </w:tcPr>
          <w:p>
            <w:pPr>
              <w:spacing w:after="0"/>
              <w:jc w:val="right"/>
            </w:pPr>
            <w:r>
              <w:rPr>
                <w:sz w:val="14"/>
              </w:rPr>
              <w:t>40.0</w:t>
            </w:r>
          </w:p>
        </w:tc>
        <w:tc>
          <w:tcPr>
            <w:tcW w:type="dxa" w:w="877"/>
          </w:tcPr>
          <w:p>
            <w:pPr>
              <w:spacing w:after="0"/>
              <w:jc w:val="right"/>
            </w:pPr>
            <w:r>
              <w:rPr>
                <w:sz w:val="14"/>
              </w:rPr>
              <w:t>10.0%</w:t>
            </w:r>
          </w:p>
        </w:tc>
        <w:tc>
          <w:tcPr>
            <w:tcW w:type="dxa" w:w="877"/>
          </w:tcPr>
          <w:p>
            <w:pPr>
              <w:spacing w:after="0"/>
              <w:jc w:val="right"/>
            </w:pPr>
            <w:r>
              <w:rPr>
                <w:sz w:val="14"/>
              </w:rPr>
              <w:t>272.00</w:t>
            </w:r>
          </w:p>
        </w:tc>
        <w:tc>
          <w:tcPr>
            <w:tcW w:type="dxa" w:w="877"/>
          </w:tcPr>
          <w:p>
            <w:pPr>
              <w:spacing w:after="0"/>
              <w:jc w:val="right"/>
            </w:pPr>
            <w:r>
              <w:rPr>
                <w:sz w:val="14"/>
              </w:rPr>
              <w:t>31.7%</w:t>
            </w:r>
          </w:p>
        </w:tc>
        <w:tc>
          <w:tcPr>
            <w:tcW w:type="dxa" w:w="877"/>
          </w:tcPr>
          <w:p>
            <w:pPr>
              <w:spacing w:after="0"/>
              <w:jc w:val="right"/>
            </w:pPr>
            <w:r>
              <w:rPr>
                <w:sz w:val="14"/>
              </w:rPr>
              <w:t>41.7%</w:t>
            </w:r>
          </w:p>
        </w:tc>
        <w:tc>
          <w:tcPr>
            <w:tcW w:type="dxa" w:w="1389"/>
          </w:tcPr>
          <w:p>
            <w:pPr>
              <w:spacing w:after="0"/>
            </w:pPr>
            <w:r>
              <w:rPr>
                <w:sz w:val="14"/>
              </w:rPr>
              <w:t>At least AA (sf)</w:t>
            </w:r>
          </w:p>
        </w:tc>
        <w:tc>
          <w:tcPr>
            <w:tcW w:type="dxa" w:w="1320"/>
          </w:tcPr>
          <w:p>
            <w:pPr>
              <w:spacing w:after="0"/>
            </w:pPr>
            <w:r>
              <w:rPr>
                <w:sz w:val="14"/>
              </w:rPr>
              <w:t>3M SOFR + 1.90%</w:t>
            </w:r>
          </w:p>
        </w:tc>
        <w:tc>
          <w:tcPr>
            <w:tcW w:type="dxa" w:w="877"/>
          </w:tcPr>
          <w:p>
            <w:pPr>
              <w:spacing w:after="0"/>
            </w:pPr>
            <w:r>
              <w:rPr>
                <w:sz w:val="14"/>
              </w:rPr>
              <w:t>Jul 2038</w:t>
            </w:r>
          </w:p>
        </w:tc>
      </w:tr>
      <w:tr>
        <w:tc>
          <w:tcPr>
            <w:tcW w:type="dxa" w:w="1389"/>
          </w:tcPr>
          <w:p>
            <w:pPr>
              <w:spacing w:after="0"/>
            </w:pPr>
            <w:r>
              <w:rPr>
                <w:sz w:val="14"/>
              </w:rPr>
              <w:t>Class C Notes</w:t>
            </w:r>
          </w:p>
        </w:tc>
        <w:tc>
          <w:tcPr>
            <w:tcW w:type="dxa" w:w="877"/>
          </w:tcPr>
          <w:p>
            <w:pPr>
              <w:spacing w:after="0"/>
              <w:jc w:val="right"/>
            </w:pPr>
            <w:r>
              <w:rPr>
                <w:sz w:val="14"/>
              </w:rPr>
              <w:t>20.0</w:t>
            </w:r>
          </w:p>
        </w:tc>
        <w:tc>
          <w:tcPr>
            <w:tcW w:type="dxa" w:w="877"/>
          </w:tcPr>
          <w:p>
            <w:pPr>
              <w:spacing w:after="0"/>
              <w:jc w:val="right"/>
            </w:pPr>
            <w:r>
              <w:rPr>
                <w:sz w:val="14"/>
              </w:rPr>
              <w:t>5.0%</w:t>
            </w:r>
          </w:p>
        </w:tc>
        <w:tc>
          <w:tcPr>
            <w:tcW w:type="dxa" w:w="877"/>
          </w:tcPr>
          <w:p>
            <w:pPr>
              <w:spacing w:after="0"/>
              <w:jc w:val="right"/>
            </w:pPr>
            <w:r>
              <w:rPr>
                <w:sz w:val="14"/>
              </w:rPr>
              <w:t>292.00</w:t>
            </w:r>
          </w:p>
        </w:tc>
        <w:tc>
          <w:tcPr>
            <w:tcW w:type="dxa" w:w="877"/>
          </w:tcPr>
          <w:p>
            <w:pPr>
              <w:spacing w:after="0"/>
              <w:jc w:val="right"/>
            </w:pPr>
            <w:r>
              <w:rPr>
                <w:sz w:val="14"/>
              </w:rPr>
              <w:t>26.7%</w:t>
            </w:r>
          </w:p>
        </w:tc>
        <w:tc>
          <w:tcPr>
            <w:tcW w:type="dxa" w:w="877"/>
          </w:tcPr>
          <w:p>
            <w:pPr>
              <w:spacing w:after="0"/>
              <w:jc w:val="right"/>
            </w:pPr>
            <w:r>
              <w:rPr>
                <w:sz w:val="14"/>
              </w:rPr>
              <w:t>31.7%</w:t>
            </w:r>
          </w:p>
        </w:tc>
        <w:tc>
          <w:tcPr>
            <w:tcW w:type="dxa" w:w="1389"/>
          </w:tcPr>
          <w:p>
            <w:pPr>
              <w:spacing w:after="0"/>
            </w:pPr>
            <w:r>
              <w:rPr>
                <w:sz w:val="14"/>
              </w:rPr>
              <w:t>At least A (sf)</w:t>
            </w:r>
          </w:p>
        </w:tc>
        <w:tc>
          <w:tcPr>
            <w:tcW w:type="dxa" w:w="1320"/>
          </w:tcPr>
          <w:p>
            <w:pPr>
              <w:spacing w:after="0"/>
            </w:pPr>
            <w:r>
              <w:rPr>
                <w:sz w:val="14"/>
              </w:rPr>
              <w:t>3M SOFR + 2.20%</w:t>
            </w:r>
          </w:p>
        </w:tc>
        <w:tc>
          <w:tcPr>
            <w:tcW w:type="dxa" w:w="877"/>
          </w:tcPr>
          <w:p>
            <w:pPr>
              <w:spacing w:after="0"/>
            </w:pPr>
            <w:r>
              <w:rPr>
                <w:sz w:val="14"/>
              </w:rPr>
              <w:t>Jul 2038</w:t>
            </w:r>
          </w:p>
        </w:tc>
      </w:tr>
      <w:tr>
        <w:tc>
          <w:tcPr>
            <w:tcW w:type="dxa" w:w="1389"/>
          </w:tcPr>
          <w:p>
            <w:pPr>
              <w:spacing w:after="0"/>
            </w:pPr>
            <w:r>
              <w:rPr>
                <w:sz w:val="14"/>
              </w:rPr>
              <w:t>Preferred Shares</w:t>
            </w:r>
          </w:p>
        </w:tc>
        <w:tc>
          <w:tcPr>
            <w:tcW w:type="dxa" w:w="877"/>
          </w:tcPr>
          <w:p>
            <w:pPr>
              <w:spacing w:after="0"/>
              <w:jc w:val="right"/>
            </w:pPr>
            <w:r>
              <w:rPr>
                <w:sz w:val="14"/>
              </w:rPr>
              <w:t>106.15</w:t>
            </w:r>
          </w:p>
        </w:tc>
        <w:tc>
          <w:tcPr>
            <w:tcW w:type="dxa" w:w="877"/>
          </w:tcPr>
          <w:p>
            <w:pPr>
              <w:spacing w:after="0"/>
              <w:jc w:val="right"/>
            </w:pPr>
            <w:r>
              <w:rPr>
                <w:sz w:val="14"/>
              </w:rPr>
              <w:t>26.7%</w:t>
            </w:r>
          </w:p>
        </w:tc>
        <w:tc>
          <w:tcPr>
            <w:tcW w:type="dxa" w:w="877"/>
          </w:tcPr>
          <w:p>
            <w:pPr>
              <w:spacing w:after="0"/>
              <w:jc w:val="right"/>
            </w:pPr>
            <w:r>
              <w:rPr>
                <w:sz w:val="14"/>
              </w:rPr>
              <w:t>398.15</w:t>
            </w:r>
          </w:p>
        </w:tc>
        <w:tc>
          <w:tcPr>
            <w:tcW w:type="dxa" w:w="877"/>
          </w:tcPr>
          <w:p>
            <w:pPr>
              <w:spacing w:after="0"/>
              <w:jc w:val="right"/>
            </w:pPr>
            <w:r>
              <w:rPr>
                <w:sz w:val="14"/>
              </w:rPr>
              <w:t>0.0%</w:t>
            </w:r>
          </w:p>
        </w:tc>
        <w:tc>
          <w:tcPr>
            <w:tcW w:type="dxa" w:w="877"/>
          </w:tcPr>
          <w:p>
            <w:pPr>
              <w:spacing w:after="0"/>
              <w:jc w:val="right"/>
            </w:pPr>
            <w:r>
              <w:rPr>
                <w:sz w:val="14"/>
              </w:rPr>
              <w:t>26.7%</w:t>
            </w:r>
          </w:p>
        </w:tc>
        <w:tc>
          <w:tcPr>
            <w:tcW w:type="dxa" w:w="1389"/>
          </w:tcPr>
          <w:p>
            <w:pPr>
              <w:spacing w:after="0"/>
            </w:pPr>
            <w:r>
              <w:rPr>
                <w:sz w:val="14"/>
              </w:rPr>
              <w:t>Not rated</w:t>
            </w:r>
          </w:p>
        </w:tc>
        <w:tc>
          <w:tcPr>
            <w:tcW w:type="dxa" w:w="1320"/>
          </w:tcPr>
          <w:p>
            <w:pPr>
              <w:spacing w:after="0"/>
            </w:pPr>
            <w:r>
              <w:rPr>
                <w:sz w:val="14"/>
              </w:rPr>
              <w:t>Residual</w:t>
            </w:r>
          </w:p>
        </w:tc>
        <w:tc>
          <w:tcPr>
            <w:tcW w:type="dxa" w:w="877"/>
          </w:tcPr>
          <w:p>
            <w:pPr>
              <w:spacing w:after="0"/>
              <w:jc w:val="right"/>
            </w:pPr>
            <w:r>
              <w:rPr>
                <w:sz w:val="14"/>
              </w:rPr>
              <w:t>n/a</w:t>
            </w:r>
          </w:p>
        </w:tc>
      </w:tr>
    </w:tbl>
    <w:p>
      <w:pPr>
        <w:spacing w:after="40"/>
      </w:pPr>
    </w:p>
    <w:p>
      <w:pPr>
        <w:spacing w:after="80"/>
      </w:pPr>
      <w:r>
        <w:t>Classes A-1, A-F and A-L rank pari passu and are paid pro rata, so they share one attachment point. Attachment and detachment are measured on total capitalization of $398.15M. Class C attaches at 26.7% and detaches at 31.7%.</w:t>
      </w:r>
    </w:p>
    <w:p>
      <w:r>
        <w:rPr>
          <w:i/>
          <w:color w:val="5B6475"/>
          <w:sz w:val="16"/>
        </w:rPr>
        <w:t>Source: 8-K Item 1.01; Indenture Section 2.3. Exhibit 1.</w:t>
      </w:r>
    </w:p>
    <w:p>
      <w:pPr>
        <w:pStyle w:val="Heading2"/>
      </w:pPr>
      <w:r>
        <w:t>6. Asset-class data: coverage tests, priority of payments and portfolio limits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334"/>
        <w:gridCol w:w="1345"/>
        <w:gridCol w:w="1345"/>
        <w:gridCol w:w="3334"/>
      </w:tblGrid>
      <w:tr>
        <w:tc>
          <w:tcPr>
            <w:tcW w:type="dxa" w:w="3335"/>
            <w:shd w:val="clear" w:color="auto" w:fill="E4EAF3"/>
          </w:tcPr>
          <w:p>
            <w:pPr>
              <w:spacing w:after="0"/>
            </w:pPr>
            <w:r>
              <w:rPr>
                <w:b/>
                <w:color w:val="121826"/>
                <w:sz w:val="17"/>
              </w:rPr>
              <w:t>Coverage test</w:t>
            </w:r>
          </w:p>
        </w:tc>
        <w:tc>
          <w:tcPr>
            <w:tcW w:type="dxa" w:w="1345"/>
            <w:shd w:val="clear" w:color="auto" w:fill="E4EAF3"/>
          </w:tcPr>
          <w:p>
            <w:pPr>
              <w:spacing w:after="0"/>
            </w:pPr>
            <w:r>
              <w:rPr>
                <w:b/>
                <w:color w:val="121826"/>
                <w:sz w:val="17"/>
              </w:rPr>
              <w:t>Class A/B</w:t>
            </w:r>
          </w:p>
        </w:tc>
        <w:tc>
          <w:tcPr>
            <w:tcW w:type="dxa" w:w="1345"/>
            <w:shd w:val="clear" w:color="auto" w:fill="E4EAF3"/>
          </w:tcPr>
          <w:p>
            <w:pPr>
              <w:spacing w:after="0"/>
            </w:pPr>
            <w:r>
              <w:rPr>
                <w:b/>
                <w:color w:val="121826"/>
                <w:sz w:val="17"/>
              </w:rPr>
              <w:t>Class C</w:t>
            </w:r>
          </w:p>
        </w:tc>
        <w:tc>
          <w:tcPr>
            <w:tcW w:type="dxa" w:w="3335"/>
            <w:shd w:val="clear" w:color="auto" w:fill="E4EAF3"/>
          </w:tcPr>
          <w:p>
            <w:pPr>
              <w:spacing w:after="0"/>
            </w:pPr>
            <w:r>
              <w:rPr>
                <w:b/>
                <w:color w:val="121826"/>
                <w:sz w:val="17"/>
              </w:rPr>
              <w:t>Applies from</w:t>
            </w:r>
          </w:p>
        </w:tc>
      </w:tr>
      <w:tr>
        <w:tc>
          <w:tcPr>
            <w:tcW w:type="dxa" w:w="3335"/>
          </w:tcPr>
          <w:p>
            <w:pPr>
              <w:spacing w:after="0"/>
            </w:pPr>
            <w:r>
              <w:rPr>
                <w:sz w:val="17"/>
              </w:rPr>
              <w:t>Required Overcollateralization (OC) Ratio</w:t>
            </w:r>
          </w:p>
        </w:tc>
        <w:tc>
          <w:tcPr>
            <w:tcW w:type="dxa" w:w="1345"/>
          </w:tcPr>
          <w:p>
            <w:pPr>
              <w:spacing w:after="0"/>
              <w:jc w:val="right"/>
            </w:pPr>
            <w:r>
              <w:rPr>
                <w:sz w:val="17"/>
              </w:rPr>
              <w:t>135.06%</w:t>
            </w:r>
          </w:p>
        </w:tc>
        <w:tc>
          <w:tcPr>
            <w:tcW w:type="dxa" w:w="1345"/>
          </w:tcPr>
          <w:p>
            <w:pPr>
              <w:spacing w:after="0"/>
              <w:jc w:val="right"/>
            </w:pPr>
            <w:r>
              <w:rPr>
                <w:sz w:val="17"/>
              </w:rPr>
              <w:t>126.99%</w:t>
            </w:r>
          </w:p>
        </w:tc>
        <w:tc>
          <w:tcPr>
            <w:tcW w:type="dxa" w:w="3335"/>
          </w:tcPr>
          <w:p>
            <w:pPr>
              <w:spacing w:after="0"/>
            </w:pPr>
            <w:r>
              <w:rPr>
                <w:sz w:val="17"/>
              </w:rPr>
              <w:t>Effective Date</w:t>
            </w:r>
          </w:p>
        </w:tc>
      </w:tr>
      <w:tr>
        <w:tc>
          <w:tcPr>
            <w:tcW w:type="dxa" w:w="3335"/>
          </w:tcPr>
          <w:p>
            <w:pPr>
              <w:spacing w:after="0"/>
            </w:pPr>
            <w:r>
              <w:rPr>
                <w:sz w:val="17"/>
              </w:rPr>
              <w:t>Required Interest Coverage (IC) Ratio</w:t>
            </w:r>
          </w:p>
        </w:tc>
        <w:tc>
          <w:tcPr>
            <w:tcW w:type="dxa" w:w="1345"/>
          </w:tcPr>
          <w:p>
            <w:pPr>
              <w:spacing w:after="0"/>
              <w:jc w:val="right"/>
            </w:pPr>
            <w:r>
              <w:rPr>
                <w:sz w:val="17"/>
              </w:rPr>
              <w:t>120.00%</w:t>
            </w:r>
          </w:p>
        </w:tc>
        <w:tc>
          <w:tcPr>
            <w:tcW w:type="dxa" w:w="1345"/>
          </w:tcPr>
          <w:p>
            <w:pPr>
              <w:spacing w:after="0"/>
              <w:jc w:val="right"/>
            </w:pPr>
            <w:r>
              <w:rPr>
                <w:sz w:val="17"/>
              </w:rPr>
              <w:t>115.00%</w:t>
            </w:r>
          </w:p>
        </w:tc>
        <w:tc>
          <w:tcPr>
            <w:tcW w:type="dxa" w:w="3335"/>
          </w:tcPr>
          <w:p>
            <w:pPr>
              <w:spacing w:after="0"/>
            </w:pPr>
            <w:r>
              <w:rPr>
                <w:sz w:val="17"/>
              </w:rPr>
              <w:t>Determination Date for the second Payment Date</w:t>
            </w:r>
          </w:p>
        </w:tc>
      </w:tr>
    </w:tbl>
    <w:p>
      <w:pPr>
        <w:spacing w:after="40"/>
      </w:pPr>
    </w:p>
    <w:p>
      <w:pPr>
        <w:pStyle w:val="ListBullet"/>
        <w:spacing w:after="40"/>
      </w:pPr>
      <w:r>
        <w:rPr>
          <w:b/>
        </w:rPr>
        <w:t>OC ratio</w:t>
      </w:r>
      <w:r>
        <w:t xml:space="preserve"> = Adjusted Collateral Principal Amount ÷ outstanding debt of the class and all classes senior to it (for Class C, including any Deferred Interest).</w:t>
      </w:r>
    </w:p>
    <w:p>
      <w:pPr>
        <w:pStyle w:val="ListBullet"/>
        <w:spacing w:after="40"/>
      </w:pPr>
      <w:r>
        <w:rPr>
          <w:b/>
        </w:rPr>
        <w:t>Adjusted Collateral Principal Amount</w:t>
      </w:r>
      <w:r>
        <w:t xml:space="preserve"> counts:</w:t>
      </w:r>
    </w:p>
    <w:p>
      <w:pPr>
        <w:pStyle w:val="ListBullet2"/>
        <w:spacing w:after="40"/>
      </w:pPr>
      <w:r>
        <w:t>performing loans at par, plus principal cash;</w:t>
      </w:r>
    </w:p>
    <w:p>
      <w:pPr>
        <w:pStyle w:val="ListBullet2"/>
        <w:spacing w:after="40"/>
      </w:pPr>
      <w:r>
        <w:t>Defaulted Obligations at the lower of S&amp;P recovery value and market value (zero after three years);</w:t>
      </w:r>
    </w:p>
    <w:p>
      <w:pPr>
        <w:pStyle w:val="ListBullet2"/>
        <w:spacing w:after="40"/>
      </w:pPr>
      <w:r>
        <w:t>Discount Obligations (bought below 80% of par, or 85% if rated below B-) at purchase price;</w:t>
      </w:r>
    </w:p>
    <w:p>
      <w:pPr>
        <w:pStyle w:val="ListBullet2"/>
        <w:spacing w:after="40"/>
      </w:pPr>
      <w:r>
        <w:t>long-dated loans at the lower of market value and 70%.</w:t>
      </w:r>
    </w:p>
    <w:p>
      <w:pPr>
        <w:spacing w:after="80"/>
      </w:pPr>
      <w:r>
        <w:t xml:space="preserve">  It deducts the Excess CCC Adjustment Amount: the S&amp;P CCC loans above 17.5% of the pool, taken lowest market value first, are marked from par to market value.</w:t>
      </w:r>
    </w:p>
    <w:p>
      <w:pPr>
        <w:pStyle w:val="ListBullet"/>
        <w:spacing w:after="40"/>
      </w:pPr>
      <w:r>
        <w:rPr>
          <w:b/>
        </w:rPr>
        <w:t>IC ratio</w:t>
      </w:r>
      <w:r>
        <w:t xml:space="preserve"> = collateral interest less taxes, capped administrative expenses and any unwaived base fee, ÷ interest due on the class and all senior classes.</w:t>
      </w:r>
    </w:p>
    <w:p>
      <w:pPr>
        <w:pStyle w:val="ListBullet"/>
        <w:spacing w:after="40"/>
      </w:pPr>
      <w:r>
        <w:rPr>
          <w:b/>
        </w:rPr>
        <w:t>A failing test</w:t>
      </w:r>
      <w:r>
        <w:t xml:space="preserve"> diverts interest, and then principal, to pay down the senior notes in order (A-1/A-F/A-L, then B, then C) until the test passes. Class C interest is deferred and capitalized if cash runs short. That deferral is not an Event of Default while Class A or B is outstanding.</w:t>
      </w:r>
    </w:p>
    <w:p>
      <w:pPr>
        <w:pStyle w:val="ListBullet"/>
        <w:spacing w:after="40"/>
      </w:pPr>
      <w:r>
        <w:rPr>
          <w:b/>
        </w:rPr>
        <w:t>Events of Default</w:t>
      </w:r>
      <w:r>
        <w:t xml:space="preserve"> include non-payment of Class A or B interest and (Collateral Principal Amount + market value of Defaulted Obligations) ÷ Class A debt below 102.50%.</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3649"/>
        <w:gridCol w:w="5710"/>
      </w:tblGrid>
      <w:tr>
        <w:tc>
          <w:tcPr>
            <w:tcW w:type="dxa" w:w="3650"/>
            <w:shd w:val="clear" w:color="auto" w:fill="E4EAF3"/>
          </w:tcPr>
          <w:p>
            <w:pPr>
              <w:spacing w:after="0"/>
            </w:pPr>
            <w:r>
              <w:rPr>
                <w:b/>
                <w:color w:val="121826"/>
                <w:sz w:val="17"/>
              </w:rPr>
              <w:t>Interest Proceeds step</w:t>
            </w:r>
          </w:p>
        </w:tc>
        <w:tc>
          <w:tcPr>
            <w:tcW w:type="dxa" w:w="5710"/>
            <w:shd w:val="clear" w:color="auto" w:fill="E4EAF3"/>
          </w:tcPr>
          <w:p>
            <w:pPr>
              <w:spacing w:after="0"/>
            </w:pPr>
            <w:r>
              <w:rPr>
                <w:b/>
                <w:color w:val="121826"/>
                <w:sz w:val="17"/>
              </w:rPr>
              <w:t>Payment</w:t>
            </w:r>
          </w:p>
        </w:tc>
      </w:tr>
      <w:tr>
        <w:tc>
          <w:tcPr>
            <w:tcW w:type="dxa" w:w="3650"/>
          </w:tcPr>
          <w:p>
            <w:pPr>
              <w:spacing w:after="0"/>
            </w:pPr>
            <w:r>
              <w:rPr>
                <w:sz w:val="17"/>
              </w:rPr>
              <w:t>(A)</w:t>
            </w:r>
          </w:p>
        </w:tc>
        <w:tc>
          <w:tcPr>
            <w:tcW w:type="dxa" w:w="5710"/>
          </w:tcPr>
          <w:p>
            <w:pPr>
              <w:spacing w:after="0"/>
            </w:pPr>
            <w:r>
              <w:rPr>
                <w:sz w:val="17"/>
              </w:rPr>
              <w:t>Taxes and capped administrative expenses (0.025% p.a. of the Fee Basis Amount plus $250,000)</w:t>
            </w:r>
          </w:p>
        </w:tc>
      </w:tr>
      <w:tr>
        <w:tc>
          <w:tcPr>
            <w:tcW w:type="dxa" w:w="3650"/>
          </w:tcPr>
          <w:p>
            <w:pPr>
              <w:spacing w:after="0"/>
            </w:pPr>
            <w:r>
              <w:rPr>
                <w:sz w:val="17"/>
              </w:rPr>
              <w:t>(B)</w:t>
            </w:r>
          </w:p>
        </w:tc>
        <w:tc>
          <w:tcPr>
            <w:tcW w:type="dxa" w:w="5710"/>
          </w:tcPr>
          <w:p>
            <w:pPr>
              <w:spacing w:after="0"/>
            </w:pPr>
            <w:r>
              <w:rPr>
                <w:sz w:val="17"/>
              </w:rPr>
              <w:t>Base Management Fee of 0.15% (waived)</w:t>
            </w:r>
          </w:p>
        </w:tc>
      </w:tr>
      <w:tr>
        <w:tc>
          <w:tcPr>
            <w:tcW w:type="dxa" w:w="3650"/>
          </w:tcPr>
          <w:p>
            <w:pPr>
              <w:spacing w:after="0"/>
            </w:pPr>
            <w:r>
              <w:rPr>
                <w:sz w:val="17"/>
              </w:rPr>
              <w:t>(C)</w:t>
            </w:r>
          </w:p>
        </w:tc>
        <w:tc>
          <w:tcPr>
            <w:tcW w:type="dxa" w:w="5710"/>
          </w:tcPr>
          <w:p>
            <w:pPr>
              <w:spacing w:after="0"/>
            </w:pPr>
            <w:r>
              <w:rPr>
                <w:sz w:val="17"/>
              </w:rPr>
              <w:t>Class A interest</w:t>
            </w:r>
          </w:p>
        </w:tc>
      </w:tr>
      <w:tr>
        <w:tc>
          <w:tcPr>
            <w:tcW w:type="dxa" w:w="3650"/>
          </w:tcPr>
          <w:p>
            <w:pPr>
              <w:spacing w:after="0"/>
            </w:pPr>
            <w:r>
              <w:rPr>
                <w:sz w:val="17"/>
              </w:rPr>
              <w:t>(D)</w:t>
            </w:r>
          </w:p>
        </w:tc>
        <w:tc>
          <w:tcPr>
            <w:tcW w:type="dxa" w:w="5710"/>
          </w:tcPr>
          <w:p>
            <w:pPr>
              <w:spacing w:after="0"/>
            </w:pPr>
            <w:r>
              <w:rPr>
                <w:sz w:val="17"/>
              </w:rPr>
              <w:t>Class B interest</w:t>
            </w:r>
          </w:p>
        </w:tc>
      </w:tr>
      <w:tr>
        <w:tc>
          <w:tcPr>
            <w:tcW w:type="dxa" w:w="3650"/>
          </w:tcPr>
          <w:p>
            <w:pPr>
              <w:spacing w:after="0"/>
            </w:pPr>
            <w:r>
              <w:rPr>
                <w:sz w:val="17"/>
              </w:rPr>
              <w:t>(E)</w:t>
            </w:r>
          </w:p>
        </w:tc>
        <w:tc>
          <w:tcPr>
            <w:tcW w:type="dxa" w:w="5710"/>
          </w:tcPr>
          <w:p>
            <w:pPr>
              <w:spacing w:after="0"/>
            </w:pPr>
            <w:r>
              <w:rPr>
                <w:sz w:val="17"/>
              </w:rPr>
              <w:t>Class A/B coverage cure</w:t>
            </w:r>
          </w:p>
        </w:tc>
      </w:tr>
      <w:tr>
        <w:tc>
          <w:tcPr>
            <w:tcW w:type="dxa" w:w="3650"/>
          </w:tcPr>
          <w:p>
            <w:pPr>
              <w:spacing w:after="0"/>
            </w:pPr>
            <w:r>
              <w:rPr>
                <w:sz w:val="17"/>
              </w:rPr>
              <w:t>(F)</w:t>
            </w:r>
          </w:p>
        </w:tc>
        <w:tc>
          <w:tcPr>
            <w:tcW w:type="dxa" w:w="5710"/>
          </w:tcPr>
          <w:p>
            <w:pPr>
              <w:spacing w:after="0"/>
            </w:pPr>
            <w:r>
              <w:rPr>
                <w:sz w:val="17"/>
              </w:rPr>
              <w:t>Class C interest</w:t>
            </w:r>
          </w:p>
        </w:tc>
      </w:tr>
      <w:tr>
        <w:tc>
          <w:tcPr>
            <w:tcW w:type="dxa" w:w="3650"/>
          </w:tcPr>
          <w:p>
            <w:pPr>
              <w:spacing w:after="0"/>
            </w:pPr>
            <w:r>
              <w:rPr>
                <w:sz w:val="17"/>
              </w:rPr>
              <w:t>(G)</w:t>
            </w:r>
          </w:p>
        </w:tc>
        <w:tc>
          <w:tcPr>
            <w:tcW w:type="dxa" w:w="5710"/>
          </w:tcPr>
          <w:p>
            <w:pPr>
              <w:spacing w:after="0"/>
            </w:pPr>
            <w:r>
              <w:rPr>
                <w:sz w:val="17"/>
              </w:rPr>
              <w:t>Class C coverage cure</w:t>
            </w:r>
          </w:p>
        </w:tc>
      </w:tr>
      <w:tr>
        <w:tc>
          <w:tcPr>
            <w:tcW w:type="dxa" w:w="3650"/>
          </w:tcPr>
          <w:p>
            <w:pPr>
              <w:spacing w:after="0"/>
            </w:pPr>
            <w:r>
              <w:rPr>
                <w:sz w:val="17"/>
              </w:rPr>
              <w:t>(H)</w:t>
            </w:r>
          </w:p>
        </w:tc>
        <w:tc>
          <w:tcPr>
            <w:tcW w:type="dxa" w:w="5710"/>
          </w:tcPr>
          <w:p>
            <w:pPr>
              <w:spacing w:after="0"/>
            </w:pPr>
            <w:r>
              <w:rPr>
                <w:sz w:val="17"/>
              </w:rPr>
              <w:t>Class C Deferred Interest</w:t>
            </w:r>
          </w:p>
        </w:tc>
      </w:tr>
      <w:tr>
        <w:tc>
          <w:tcPr>
            <w:tcW w:type="dxa" w:w="3650"/>
          </w:tcPr>
          <w:p>
            <w:pPr>
              <w:spacing w:after="0"/>
            </w:pPr>
            <w:r>
              <w:rPr>
                <w:sz w:val="17"/>
              </w:rPr>
              <w:t>(K)</w:t>
            </w:r>
          </w:p>
        </w:tc>
        <w:tc>
          <w:tcPr>
            <w:tcW w:type="dxa" w:w="5710"/>
          </w:tcPr>
          <w:p>
            <w:pPr>
              <w:spacing w:after="0"/>
            </w:pPr>
            <w:r>
              <w:rPr>
                <w:sz w:val="17"/>
              </w:rPr>
              <w:t>Subordinated Management Fee of 0.25% (waived)</w:t>
            </w:r>
          </w:p>
        </w:tc>
      </w:tr>
      <w:tr>
        <w:tc>
          <w:tcPr>
            <w:tcW w:type="dxa" w:w="3650"/>
          </w:tcPr>
          <w:p>
            <w:pPr>
              <w:spacing w:after="0"/>
            </w:pPr>
            <w:r>
              <w:rPr>
                <w:sz w:val="17"/>
              </w:rPr>
              <w:t>(L)</w:t>
            </w:r>
          </w:p>
        </w:tc>
        <w:tc>
          <w:tcPr>
            <w:tcW w:type="dxa" w:w="5710"/>
          </w:tcPr>
          <w:p>
            <w:pPr>
              <w:spacing w:after="0"/>
            </w:pPr>
            <w:r>
              <w:rPr>
                <w:sz w:val="17"/>
              </w:rPr>
              <w:t>Preferred Shares</w:t>
            </w:r>
          </w:p>
        </w:tc>
      </w:tr>
    </w:tbl>
    <w:p>
      <w:pPr>
        <w:spacing w:after="40"/>
      </w:pPr>
    </w:p>
    <w:p>
      <w:pPr>
        <w:spacing w:after="80"/>
      </w:pPr>
      <w:r>
        <w:t>Steps (I) and (J) cover an effective-date rating cure and expenses above the cap. Principal Proceeds first cover any unpaid items in steps (A) to (H), then are reinvested until Jul 2030, then repay the notes in order. The Collateral Manager has waived both fees but may rescind the waiver at any time; OBDC's advisory fee would then be offset for its share of the CLO.</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6669"/>
        <w:gridCol w:w="2690"/>
      </w:tblGrid>
      <w:tr>
        <w:tc>
          <w:tcPr>
            <w:tcW w:type="dxa" w:w="6670"/>
            <w:shd w:val="clear" w:color="auto" w:fill="E4EAF3"/>
          </w:tcPr>
          <w:p>
            <w:pPr>
              <w:spacing w:after="0"/>
            </w:pPr>
            <w:r>
              <w:rPr>
                <w:b/>
                <w:color w:val="121826"/>
                <w:sz w:val="17"/>
              </w:rPr>
              <w:t>Selected portfolio limits (share of Collateral Principal Amount)</w:t>
            </w:r>
          </w:p>
        </w:tc>
        <w:tc>
          <w:tcPr>
            <w:tcW w:type="dxa" w:w="2690"/>
            <w:shd w:val="clear" w:color="auto" w:fill="E4EAF3"/>
          </w:tcPr>
          <w:p>
            <w:pPr>
              <w:spacing w:after="0"/>
            </w:pPr>
            <w:r>
              <w:rPr>
                <w:b/>
                <w:color w:val="121826"/>
                <w:sz w:val="17"/>
              </w:rPr>
              <w:t>Limit</w:t>
            </w:r>
          </w:p>
        </w:tc>
      </w:tr>
      <w:tr>
        <w:tc>
          <w:tcPr>
            <w:tcW w:type="dxa" w:w="6670"/>
          </w:tcPr>
          <w:p>
            <w:pPr>
              <w:spacing w:after="0"/>
            </w:pPr>
            <w:r>
              <w:rPr>
                <w:sz w:val="17"/>
              </w:rPr>
              <w:t>Senior Secured Loans and Eligible Investments (minimum)</w:t>
            </w:r>
          </w:p>
        </w:tc>
        <w:tc>
          <w:tcPr>
            <w:tcW w:type="dxa" w:w="2690"/>
          </w:tcPr>
          <w:p>
            <w:pPr>
              <w:spacing w:after="0"/>
            </w:pPr>
            <w:r>
              <w:rPr>
                <w:sz w:val="17"/>
              </w:rPr>
              <w:t>min 90.0%</w:t>
            </w:r>
          </w:p>
        </w:tc>
      </w:tr>
      <w:tr>
        <w:tc>
          <w:tcPr>
            <w:tcW w:type="dxa" w:w="6670"/>
          </w:tcPr>
          <w:p>
            <w:pPr>
              <w:spacing w:after="0"/>
            </w:pPr>
            <w:r>
              <w:rPr>
                <w:sz w:val="17"/>
              </w:rPr>
              <w:t>Single Obligor and Affiliates (up to five obligors at 4.0%)</w:t>
            </w:r>
          </w:p>
        </w:tc>
        <w:tc>
          <w:tcPr>
            <w:tcW w:type="dxa" w:w="2690"/>
          </w:tcPr>
          <w:p>
            <w:pPr>
              <w:spacing w:after="0"/>
            </w:pPr>
            <w:r>
              <w:rPr>
                <w:sz w:val="17"/>
              </w:rPr>
              <w:t>max 3.0%</w:t>
            </w:r>
          </w:p>
        </w:tc>
      </w:tr>
      <w:tr>
        <w:tc>
          <w:tcPr>
            <w:tcW w:type="dxa" w:w="6670"/>
          </w:tcPr>
          <w:p>
            <w:pPr>
              <w:spacing w:after="0"/>
            </w:pPr>
            <w:r>
              <w:rPr>
                <w:sz w:val="17"/>
              </w:rPr>
              <w:t>FLLO and Second Lien Loans, single Obligor</w:t>
            </w:r>
          </w:p>
        </w:tc>
        <w:tc>
          <w:tcPr>
            <w:tcW w:type="dxa" w:w="2690"/>
          </w:tcPr>
          <w:p>
            <w:pPr>
              <w:spacing w:after="0"/>
            </w:pPr>
            <w:r>
              <w:rPr>
                <w:sz w:val="17"/>
              </w:rPr>
              <w:t>max 1.5%</w:t>
            </w:r>
          </w:p>
        </w:tc>
      </w:tr>
      <w:tr>
        <w:tc>
          <w:tcPr>
            <w:tcW w:type="dxa" w:w="6670"/>
          </w:tcPr>
          <w:p>
            <w:pPr>
              <w:spacing w:after="0"/>
            </w:pPr>
            <w:r>
              <w:rPr>
                <w:sz w:val="17"/>
              </w:rPr>
              <w:t>S&amp;P CCC Collateral Obligations</w:t>
            </w:r>
          </w:p>
        </w:tc>
        <w:tc>
          <w:tcPr>
            <w:tcW w:type="dxa" w:w="2690"/>
          </w:tcPr>
          <w:p>
            <w:pPr>
              <w:spacing w:after="0"/>
            </w:pPr>
            <w:r>
              <w:rPr>
                <w:sz w:val="17"/>
              </w:rPr>
              <w:t>max 20.0%</w:t>
            </w:r>
          </w:p>
        </w:tc>
      </w:tr>
      <w:tr>
        <w:tc>
          <w:tcPr>
            <w:tcW w:type="dxa" w:w="6670"/>
          </w:tcPr>
          <w:p>
            <w:pPr>
              <w:spacing w:after="0"/>
            </w:pPr>
            <w:r>
              <w:rPr>
                <w:sz w:val="17"/>
              </w:rPr>
              <w:t>Fixed Rate Obligations</w:t>
            </w:r>
          </w:p>
        </w:tc>
        <w:tc>
          <w:tcPr>
            <w:tcW w:type="dxa" w:w="2690"/>
          </w:tcPr>
          <w:p>
            <w:pPr>
              <w:spacing w:after="0"/>
            </w:pPr>
            <w:r>
              <w:rPr>
                <w:sz w:val="17"/>
              </w:rPr>
              <w:t>max 10.0%</w:t>
            </w:r>
          </w:p>
        </w:tc>
      </w:tr>
      <w:tr>
        <w:tc>
          <w:tcPr>
            <w:tcW w:type="dxa" w:w="6670"/>
          </w:tcPr>
          <w:p>
            <w:pPr>
              <w:spacing w:after="0"/>
            </w:pPr>
            <w:r>
              <w:rPr>
                <w:sz w:val="17"/>
              </w:rPr>
              <w:t>Current Pay Obligations</w:t>
            </w:r>
          </w:p>
        </w:tc>
        <w:tc>
          <w:tcPr>
            <w:tcW w:type="dxa" w:w="2690"/>
          </w:tcPr>
          <w:p>
            <w:pPr>
              <w:spacing w:after="0"/>
            </w:pPr>
            <w:r>
              <w:rPr>
                <w:sz w:val="17"/>
              </w:rPr>
              <w:t>max 5.0%</w:t>
            </w:r>
          </w:p>
        </w:tc>
      </w:tr>
      <w:tr>
        <w:tc>
          <w:tcPr>
            <w:tcW w:type="dxa" w:w="6670"/>
          </w:tcPr>
          <w:p>
            <w:pPr>
              <w:spacing w:after="0"/>
            </w:pPr>
            <w:r>
              <w:rPr>
                <w:sz w:val="17"/>
              </w:rPr>
              <w:t>Single S&amp;P Industry Classification (largest 20.0%, second 17.5%, third 15.0%)</w:t>
            </w:r>
          </w:p>
        </w:tc>
        <w:tc>
          <w:tcPr>
            <w:tcW w:type="dxa" w:w="2690"/>
          </w:tcPr>
          <w:p>
            <w:pPr>
              <w:spacing w:after="0"/>
            </w:pPr>
            <w:r>
              <w:rPr>
                <w:sz w:val="17"/>
              </w:rPr>
              <w:t>max 12.5%</w:t>
            </w:r>
          </w:p>
        </w:tc>
      </w:tr>
      <w:tr>
        <w:tc>
          <w:tcPr>
            <w:tcW w:type="dxa" w:w="6670"/>
          </w:tcPr>
          <w:p>
            <w:pPr>
              <w:spacing w:after="0"/>
            </w:pPr>
            <w:r>
              <w:rPr>
                <w:sz w:val="17"/>
              </w:rPr>
              <w:t>Discount Obligations</w:t>
            </w:r>
          </w:p>
        </w:tc>
        <w:tc>
          <w:tcPr>
            <w:tcW w:type="dxa" w:w="2690"/>
          </w:tcPr>
          <w:p>
            <w:pPr>
              <w:spacing w:after="0"/>
            </w:pPr>
            <w:r>
              <w:rPr>
                <w:sz w:val="17"/>
              </w:rPr>
              <w:t>max 20.0%</w:t>
            </w:r>
          </w:p>
        </w:tc>
      </w:tr>
      <w:tr>
        <w:tc>
          <w:tcPr>
            <w:tcW w:type="dxa" w:w="6670"/>
          </w:tcPr>
          <w:p>
            <w:pPr>
              <w:spacing w:after="0"/>
            </w:pPr>
            <w:r>
              <w:rPr>
                <w:sz w:val="17"/>
              </w:rPr>
              <w:t>Cov-Lite Loans</w:t>
            </w:r>
          </w:p>
        </w:tc>
        <w:tc>
          <w:tcPr>
            <w:tcW w:type="dxa" w:w="2690"/>
          </w:tcPr>
          <w:p>
            <w:pPr>
              <w:spacing w:after="0"/>
            </w:pPr>
            <w:r>
              <w:rPr>
                <w:sz w:val="17"/>
              </w:rPr>
              <w:t>max 15.0%</w:t>
            </w:r>
          </w:p>
        </w:tc>
      </w:tr>
      <w:tr>
        <w:tc>
          <w:tcPr>
            <w:tcW w:type="dxa" w:w="6670"/>
          </w:tcPr>
          <w:p>
            <w:pPr>
              <w:spacing w:after="0"/>
            </w:pPr>
            <w:r>
              <w:rPr>
                <w:sz w:val="17"/>
              </w:rPr>
              <w:t>Minimum Weighted Average Coupon (fixed-rate loans)</w:t>
            </w:r>
          </w:p>
        </w:tc>
        <w:tc>
          <w:tcPr>
            <w:tcW w:type="dxa" w:w="2690"/>
          </w:tcPr>
          <w:p>
            <w:pPr>
              <w:spacing w:after="0"/>
              <w:jc w:val="right"/>
            </w:pPr>
            <w:r>
              <w:rPr>
                <w:sz w:val="17"/>
              </w:rPr>
              <w:t>7.00%</w:t>
            </w:r>
          </w:p>
        </w:tc>
      </w:tr>
      <w:tr>
        <w:tc>
          <w:tcPr>
            <w:tcW w:type="dxa" w:w="6670"/>
          </w:tcPr>
          <w:p>
            <w:pPr>
              <w:spacing w:after="0"/>
            </w:pPr>
            <w:r>
              <w:rPr>
                <w:sz w:val="17"/>
              </w:rPr>
              <w:t>Weighted Average Life Test, maximum at closing (years; falls each quarter)</w:t>
            </w:r>
          </w:p>
        </w:tc>
        <w:tc>
          <w:tcPr>
            <w:tcW w:type="dxa" w:w="2690"/>
          </w:tcPr>
          <w:p>
            <w:pPr>
              <w:spacing w:after="0"/>
              <w:jc w:val="right"/>
            </w:pPr>
            <w:r>
              <w:rPr>
                <w:sz w:val="17"/>
              </w:rPr>
              <w:t>8.00</w:t>
            </w:r>
          </w:p>
        </w:tc>
      </w:tr>
    </w:tbl>
    <w:p>
      <w:pPr>
        <w:spacing w:after="40"/>
      </w:pPr>
    </w:p>
    <w:p>
      <w:r>
        <w:rPr>
          <w:i/>
          <w:color w:val="5B6475"/>
          <w:sz w:val="16"/>
        </w:rPr>
        <w:t>Source: Indenture Section 1.1 definitions, Sections 5.1 and 11.1; Collateral Management Agreement; 8-K. Full definitions, the WAL schedule and all limits in Exhibit 2.</w:t>
      </w:r>
    </w:p>
    <w:p>
      <w:pPr>
        <w:pStyle w:val="Heading2"/>
      </w:pPr>
      <w:r>
        <w:t>7. Term sheet: Class C Notes</w:t>
      </w:r>
    </w:p>
    <w:tbl>
      <w:tblP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Layout w:type="fixed"/>
        <w:tblW w:w="9360" w:type="dxa"/>
      </w:tblPr>
      <w:tblGrid>
        <w:gridCol w:w="4680"/>
        <w:gridCol w:w="4680"/>
      </w:tblGrid>
      <w:tr>
        <w:tc>
          <w:tcPr>
            <w:tcW w:type="dxa" w:w="4680"/>
            <w:shd w:val="clear" w:color="auto" w:fill="E4EAF3"/>
          </w:tcPr>
          <w:p>
            <w:pPr>
              <w:spacing w:after="0"/>
            </w:pPr>
            <w:r>
              <w:rPr>
                <w:b/>
                <w:color w:val="121826"/>
                <w:sz w:val="17"/>
              </w:rPr>
              <w:t>Term</w:t>
            </w:r>
          </w:p>
        </w:tc>
        <w:tc>
          <w:tcPr>
            <w:tcW w:type="dxa" w:w="4680"/>
            <w:shd w:val="clear" w:color="auto" w:fill="E4EAF3"/>
          </w:tcPr>
          <w:p>
            <w:pPr>
              <w:spacing w:after="0"/>
            </w:pPr>
            <w:r>
              <w:rPr>
                <w:b/>
                <w:color w:val="121826"/>
                <w:sz w:val="17"/>
              </w:rPr>
              <w:t>Class C Notes</w:t>
            </w:r>
          </w:p>
        </w:tc>
      </w:tr>
      <w:tr>
        <w:tc>
          <w:tcPr>
            <w:tcW w:type="dxa" w:w="4680"/>
          </w:tcPr>
          <w:p>
            <w:pPr>
              <w:spacing w:after="0"/>
            </w:pPr>
            <w:r>
              <w:rPr>
                <w:sz w:val="17"/>
              </w:rPr>
              <w:t>Issuer and guarantors</w:t>
            </w:r>
          </w:p>
        </w:tc>
        <w:tc>
          <w:tcPr>
            <w:tcW w:type="dxa" w:w="4680"/>
          </w:tcPr>
          <w:p>
            <w:pPr>
              <w:spacing w:after="0"/>
            </w:pPr>
            <w:r>
              <w:rPr>
                <w:sz w:val="17"/>
              </w:rPr>
              <w:t>Owl Rock CLO XXVI, LLC. No guarantees; limited recourse to the collateral. OBDC gives customary loan-sale representations to the Issuer</w:t>
            </w:r>
          </w:p>
        </w:tc>
      </w:tr>
      <w:tr>
        <w:tc>
          <w:tcPr>
            <w:tcW w:type="dxa" w:w="4680"/>
          </w:tcPr>
          <w:p>
            <w:pPr>
              <w:spacing w:after="0"/>
            </w:pPr>
            <w:r>
              <w:rPr>
                <w:sz w:val="17"/>
              </w:rPr>
              <w:t>Security and amount</w:t>
            </w:r>
          </w:p>
        </w:tc>
        <w:tc>
          <w:tcPr>
            <w:tcW w:type="dxa" w:w="4680"/>
          </w:tcPr>
          <w:p>
            <w:pPr>
              <w:spacing w:after="0"/>
            </w:pPr>
            <w:r>
              <w:rPr>
                <w:sz w:val="17"/>
              </w:rPr>
              <w:t>Class C Secured Deferrable Floating Rate Notes; $20.0M issued; $10.0M offered (HYPOTHETICAL); minimum denomination $250,000</w:t>
            </w:r>
          </w:p>
        </w:tc>
      </w:tr>
      <w:tr>
        <w:tc>
          <w:tcPr>
            <w:tcW w:type="dxa" w:w="4680"/>
          </w:tcPr>
          <w:p>
            <w:pPr>
              <w:spacing w:after="0"/>
            </w:pPr>
            <w:r>
              <w:rPr>
                <w:sz w:val="17"/>
              </w:rPr>
              <w:t>Ranking and security</w:t>
            </w:r>
          </w:p>
        </w:tc>
        <w:tc>
          <w:tcPr>
            <w:tcW w:type="dxa" w:w="4680"/>
          </w:tcPr>
          <w:p>
            <w:pPr>
              <w:spacing w:after="0"/>
            </w:pPr>
            <w:r>
              <w:rPr>
                <w:sz w:val="17"/>
              </w:rPr>
              <w:t>Secured by the Issuer's collateral; subordinate to Classes A-1, A-F, A-L and B; senior to the Preferred Shares</w:t>
            </w:r>
          </w:p>
        </w:tc>
      </w:tr>
      <w:tr>
        <w:tc>
          <w:tcPr>
            <w:tcW w:type="dxa" w:w="4680"/>
          </w:tcPr>
          <w:p>
            <w:pPr>
              <w:spacing w:after="0"/>
            </w:pPr>
            <w:r>
              <w:rPr>
                <w:sz w:val="17"/>
              </w:rPr>
              <w:t>Tenor and maturity</w:t>
            </w:r>
          </w:p>
        </w:tc>
        <w:tc>
          <w:tcPr>
            <w:tcW w:type="dxa" w:w="4680"/>
          </w:tcPr>
          <w:p>
            <w:pPr>
              <w:spacing w:after="0"/>
            </w:pPr>
            <w:r>
              <w:rPr>
                <w:sz w:val="17"/>
              </w:rPr>
              <w:t>Stated Maturity: Payment Date in Jul 2038. Expected life depends on defaults, prepayments, reinvestment and any redemption; no springing maturity (single-issuer CLO)</w:t>
            </w:r>
          </w:p>
        </w:tc>
      </w:tr>
      <w:tr>
        <w:tc>
          <w:tcPr>
            <w:tcW w:type="dxa" w:w="4680"/>
          </w:tcPr>
          <w:p>
            <w:pPr>
              <w:spacing w:after="0"/>
            </w:pPr>
            <w:r>
              <w:rPr>
                <w:sz w:val="17"/>
              </w:rPr>
              <w:t>Pricing</w:t>
            </w:r>
          </w:p>
        </w:tc>
        <w:tc>
          <w:tcPr>
            <w:tcW w:type="dxa" w:w="4680"/>
          </w:tcPr>
          <w:p>
            <w:pPr>
              <w:spacing w:after="0"/>
            </w:pPr>
            <w:r>
              <w:rPr>
                <w:sz w:val="17"/>
              </w:rPr>
              <w:t>Three-month Term SOFR (floored at 0%) + 2.20%, paid quarterly on the 20th of Jan, Apr, Jul and Oct (first Payment Date Jan 20, 2027), actual/360. Coupon 6.23887% at 3M Term SOFR 4.03887% (Oct 9, 2026, CME via global-rates.com). Offer price 100.00 plus accrued (HYPOTHETICAL); no OID or fees to the buyer</w:t>
            </w:r>
          </w:p>
        </w:tc>
      </w:tr>
      <w:tr>
        <w:tc>
          <w:tcPr>
            <w:tcW w:type="dxa" w:w="4680"/>
          </w:tcPr>
          <w:p>
            <w:pPr>
              <w:spacing w:after="0"/>
            </w:pPr>
            <w:r>
              <w:rPr>
                <w:sz w:val="17"/>
              </w:rPr>
              <w:t>Call protection</w:t>
            </w:r>
          </w:p>
        </w:tc>
        <w:tc>
          <w:tcPr>
            <w:tcW w:type="dxa" w:w="4680"/>
          </w:tcPr>
          <w:p>
            <w:pPr>
              <w:spacing w:after="0"/>
            </w:pPr>
            <w:r>
              <w:rPr>
                <w:sz w:val="17"/>
              </w:rPr>
              <w:t>Non-Call Period to the Jul 2028 Payment Date. After that, optional redemption at 100% plus accrued (including Deferred Interest), or Re-Pricing of Class C's spread (Section 9.7): holders who do not consent are bought out at par. Clean-Up Call Redemption also available (Section 9.8)</w:t>
            </w:r>
          </w:p>
        </w:tc>
      </w:tr>
      <w:tr>
        <w:tc>
          <w:tcPr>
            <w:tcW w:type="dxa" w:w="4680"/>
          </w:tcPr>
          <w:p>
            <w:pPr>
              <w:spacing w:after="0"/>
            </w:pPr>
            <w:r>
              <w:rPr>
                <w:sz w:val="17"/>
              </w:rPr>
              <w:t>Amortisation</w:t>
            </w:r>
          </w:p>
        </w:tc>
        <w:tc>
          <w:tcPr>
            <w:tcW w:type="dxa" w:w="4680"/>
          </w:tcPr>
          <w:p>
            <w:pPr>
              <w:spacing w:after="0"/>
            </w:pPr>
            <w:r>
              <w:rPr>
                <w:sz w:val="17"/>
              </w:rPr>
              <w:t>None scheduled. After the Reinvestment Period, principal proceeds repay classes in order (A, then B, then C)</w:t>
            </w:r>
          </w:p>
        </w:tc>
      </w:tr>
      <w:tr>
        <w:tc>
          <w:tcPr>
            <w:tcW w:type="dxa" w:w="4680"/>
          </w:tcPr>
          <w:p>
            <w:pPr>
              <w:spacing w:after="0"/>
            </w:pPr>
            <w:r>
              <w:rPr>
                <w:sz w:val="17"/>
              </w:rPr>
              <w:t>Financial covenants (coverage tests)</w:t>
            </w:r>
          </w:p>
        </w:tc>
        <w:tc>
          <w:tcPr>
            <w:tcW w:type="dxa" w:w="4680"/>
          </w:tcPr>
          <w:p>
            <w:pPr>
              <w:spacing w:after="0"/>
            </w:pPr>
            <w:r>
              <w:rPr>
                <w:sz w:val="17"/>
              </w:rPr>
              <w:t>Class C OC Ratio of at least 126.99% and Class C IC Ratio of at least 115.00%; Class A/B tests at 135.06% and 120.00% (definitions in Section 6). Tested on each Measurement Date. Cure by diverting cash to the notes; Preferred Shareholders may make Contributions</w:t>
            </w:r>
          </w:p>
        </w:tc>
      </w:tr>
      <w:tr>
        <w:tc>
          <w:tcPr>
            <w:tcW w:type="dxa" w:w="4680"/>
          </w:tcPr>
          <w:p>
            <w:pPr>
              <w:spacing w:after="0"/>
            </w:pPr>
            <w:r>
              <w:rPr>
                <w:sz w:val="17"/>
              </w:rPr>
              <w:t>Key negative covenants</w:t>
            </w:r>
          </w:p>
        </w:tc>
        <w:tc>
          <w:tcPr>
            <w:tcW w:type="dxa" w:w="4680"/>
          </w:tcPr>
          <w:p>
            <w:pPr>
              <w:spacing w:after="0"/>
            </w:pPr>
            <w:r>
              <w:rPr>
                <w:sz w:val="17"/>
              </w:rPr>
              <w:t>Eligibility Criteria, Concentration Limitations, Collateral Quality Tests (S&amp;P CDO Monitor, minimum spread and recovery, WAL) and trading restrictions; no additional debt beyond Indenture terms</w:t>
            </w:r>
          </w:p>
        </w:tc>
      </w:tr>
      <w:tr>
        <w:tc>
          <w:tcPr>
            <w:tcW w:type="dxa" w:w="4680"/>
          </w:tcPr>
          <w:p>
            <w:pPr>
              <w:spacing w:after="0"/>
            </w:pPr>
            <w:r>
              <w:rPr>
                <w:sz w:val="17"/>
              </w:rPr>
              <w:t>Mandatory redemptions</w:t>
            </w:r>
          </w:p>
        </w:tc>
        <w:tc>
          <w:tcPr>
            <w:tcW w:type="dxa" w:w="4680"/>
          </w:tcPr>
          <w:p>
            <w:pPr>
              <w:spacing w:after="0"/>
            </w:pPr>
            <w:r>
              <w:rPr>
                <w:sz w:val="17"/>
              </w:rPr>
              <w:t>Coverage-test diversions; Special Redemption (Section 9.6) if the Collateral Manager cannot find suitable reinvestments for 20 consecutive Business Days during the Reinvestment Period; failure of the Effective Date S&amp;P Conditions</w:t>
            </w:r>
          </w:p>
        </w:tc>
      </w:tr>
      <w:tr>
        <w:tc>
          <w:tcPr>
            <w:tcW w:type="dxa" w:w="4680"/>
          </w:tcPr>
          <w:p>
            <w:pPr>
              <w:spacing w:after="0"/>
            </w:pPr>
            <w:r>
              <w:rPr>
                <w:sz w:val="17"/>
              </w:rPr>
              <w:t>Events of Default</w:t>
            </w:r>
          </w:p>
        </w:tc>
        <w:tc>
          <w:tcPr>
            <w:tcW w:type="dxa" w:w="4680"/>
          </w:tcPr>
          <w:p>
            <w:pPr>
              <w:spacing w:after="0"/>
            </w:pPr>
            <w:r>
              <w:rPr>
                <w:sz w:val="17"/>
              </w:rPr>
              <w:t>Non-payment of Class A or B interest (5 Business Days), or of principal, interest or Deferred Interest on any class at Stated Maturity or a Redemption Date; Class A collateralization below 102.50%; Issuer becoming a registered investment company; material covenant breaches after notice; insolvency. Class C interest deferral is not an Event of Default while Class A or B is outstanding</w:t>
            </w:r>
          </w:p>
        </w:tc>
      </w:tr>
      <w:tr>
        <w:tc>
          <w:tcPr>
            <w:tcW w:type="dxa" w:w="4680"/>
          </w:tcPr>
          <w:p>
            <w:pPr>
              <w:spacing w:after="0"/>
            </w:pPr>
            <w:r>
              <w:rPr>
                <w:sz w:val="17"/>
              </w:rPr>
              <w:t>Reporting</w:t>
            </w:r>
          </w:p>
        </w:tc>
        <w:tc>
          <w:tcPr>
            <w:tcW w:type="dxa" w:w="4680"/>
          </w:tcPr>
          <w:p>
            <w:pPr>
              <w:spacing w:after="0"/>
            </w:pPr>
            <w:r>
              <w:rPr>
                <w:sz w:val="17"/>
              </w:rPr>
              <w:t>Trustee Monthly Reports and quarterly Distribution Reports (OC, IC, concentration and quality tests; holdings); first Payment Date report in Jan 2027</w:t>
            </w:r>
          </w:p>
        </w:tc>
      </w:tr>
      <w:tr>
        <w:tc>
          <w:tcPr>
            <w:tcW w:type="dxa" w:w="4680"/>
          </w:tcPr>
          <w:p>
            <w:pPr>
              <w:spacing w:after="0"/>
            </w:pPr>
            <w:r>
              <w:rPr>
                <w:sz w:val="17"/>
              </w:rPr>
              <w:t>Asset-class specifics</w:t>
            </w:r>
          </w:p>
        </w:tc>
        <w:tc>
          <w:tcPr>
            <w:tcW w:type="dxa" w:w="4680"/>
          </w:tcPr>
          <w:p>
            <w:pPr>
              <w:spacing w:after="0"/>
            </w:pPr>
            <w:r>
              <w:rPr>
                <w:sz w:val="17"/>
              </w:rPr>
              <w:t>Rated by S&amp;P only: Class C 'at least A (sf)'. Ramp-up to $400.0M par by Dec 20, 2026; Reinvestment Period to Jul 2030; fees waived; OBDC retains 100% of the Preferred Shares</w:t>
            </w:r>
          </w:p>
        </w:tc>
      </w:tr>
    </w:tbl>
    <w:p>
      <w:pPr>
        <w:spacing w:after="40"/>
      </w:pPr>
    </w:p>
    <w:p>
      <w:r>
        <w:rPr>
          <w:i/>
          <w:color w:val="5B6475"/>
          <w:sz w:val="16"/>
        </w:rPr>
        <w:t>Source: Indenture (Exhibit 10.1 to the 8-K), Sections 2.3, 2.8, 5.1, 9.7, 10.5 and 11.1 and definitions; 8-K Item 1.01.</w:t>
      </w:r>
    </w:p>
    <w:p>
      <w:pPr>
        <w:pStyle w:val="Heading2"/>
      </w:pPr>
      <w:r>
        <w:t>8. Diligence findings</w:t>
      </w:r>
    </w:p>
    <w:p>
      <w:pPr>
        <w:pStyle w:val="ListBullet"/>
        <w:spacing w:after="40"/>
      </w:pPr>
      <w:r>
        <w:rPr>
          <w:b/>
        </w:rPr>
        <w:t>No loan tape.</w:t>
      </w:r>
      <w:r>
        <w:t xml:space="preserve"> The Indenture schedules listing the initial Collateral Obligations were omitted from the SEC filing. The team has asked SG for the Effective Date report and the Trustee's first Monthly Report, neither of which exists before the Effective Date (HYPOTHETICAL request). Exhibit 3 is OBDC's whole book.</w:t>
      </w:r>
    </w:p>
    <w:p>
      <w:pPr>
        <w:pStyle w:val="ListBullet"/>
        <w:spacing w:after="40"/>
      </w:pPr>
      <w:r>
        <w:rPr>
          <w:b/>
        </w:rPr>
        <w:t>One rating.</w:t>
      </w:r>
      <w:r>
        <w:t xml:space="preserve"> Only S&amp;P rates the notes. The S&amp;P presale report was not available to the team.</w:t>
      </w:r>
    </w:p>
    <w:p>
      <w:pPr>
        <w:pStyle w:val="ListBullet"/>
        <w:spacing w:after="40"/>
      </w:pPr>
      <w:r>
        <w:rPr>
          <w:b/>
        </w:rPr>
        <w:t>Seller and buyer of the risk.</w:t>
      </w:r>
      <w:r>
        <w:t xml:space="preserve"> OBDC chose which loans to sell and holds all of the equity; the Collateral Manager advises OBDC. The 8-K does not disclose the price paid for the loans.</w:t>
      </w:r>
    </w:p>
    <w:p>
      <w:pPr>
        <w:pStyle w:val="ListBullet"/>
        <w:spacing w:after="40"/>
      </w:pPr>
      <w:r>
        <w:rPr>
          <w:b/>
        </w:rPr>
        <w:t>OBDC's 2026 results.</w:t>
      </w:r>
      <w:r>
        <w:t xml:space="preserve"> Net investment income fell in the first half of 2026 and NAV per share dropped from $14.81 to $14.26. The non-accrual share at cost was 2.8% at Jun 30, 2026 (Exhibits 3–5). OBDC reports Q3 results in early November.</w:t>
      </w:r>
    </w:p>
    <w:p>
      <w:pPr>
        <w:pStyle w:val="ListBullet"/>
        <w:spacing w:after="40"/>
      </w:pPr>
      <w:r>
        <w:rPr>
          <w:b/>
        </w:rPr>
        <w:t>Dealer's sales note (HYPOTHETICAL, Oct 9, 2026):</w:t>
      </w:r>
      <w:r>
        <w:t xml:space="preserve"> "Class C attaches at 26.7%, so the pool can lose more than a quarter of its value before Class C takes a dollar of loss. Senior-manager MM paper at S+220 for single-A is cheap against your corporate book, and the new NAIC factors make it cheaper still."</w:t>
      </w:r>
    </w:p>
    <w:p>
      <w:pPr>
        <w:pStyle w:val="Heading2"/>
      </w:pPr>
      <w:r>
        <w:t>9. Questions</w:t>
      </w:r>
    </w:p>
    <w:p>
      <w:pPr>
        <w:pStyle w:val="ListNumber"/>
        <w:spacing w:after="60"/>
      </w:pPr>
      <w:r>
        <w:t>Coverage cushions (compute). Using Exhibits 1 and 2, compute the Class A/B and Class C OC ratios at the Effective Date, assuming the collateral equals the Target Initial Par Amount with no defaults and no haircuts. For each test, give the cushion to its Required OC Ratio in percentage points, and the par loss ($M and % of collateral par) that would cause it to fail. Which test fails first, and what happens to Class C's cash flows when it does? Estimate the full-quarter Class C IC ratio from the collateral spread proxy in Exhibit 3, at 3M Term SOFR of 4.03887% (Oct 9, 2026, CME).</w:t>
      </w:r>
    </w:p>
    <w:p>
      <w:pPr>
        <w:pStyle w:val="ListNumber"/>
        <w:spacing w:after="60"/>
      </w:pPr>
      <w:r>
        <w:t>Cash-flow stress (downside). Build a quarterly cash-flow model of the CLO and run: (a) a base case with an annual constant default rate (CDR) of 2.51% [DEF-3], 66.4% recovery [REC-1] and a 24.8% annual prepayment rate (CPR) [PRE-1]; (b) the manager's own worst period, turning the peak quarterly share of OBDC investments rated 4 or 5 (Exhibit 5) into a CDR; (c) a loan-market peak [DEF-1] and a middle-market GFC path built from DEF-4, DEF-5, REC-2 and PRE-2; and (d) Term SOFR +100bp (state your base curve). Show a CDR × recovery grid of Class C principal loss and yield, and the break-even CDR against the sourced historical peaks. State your recovery lag, reinvestment and maturity-sale assumptions.</w:t>
      </w:r>
    </w:p>
    <w:p>
      <w:pPr>
        <w:pStyle w:val="ListNumber"/>
        <w:spacing w:after="60"/>
      </w:pPr>
      <w:r>
        <w:t>Structure (judgement). Assess the dealer's statement in Section 8. Use the Indenture definitions in Exhibit 2 to explain what the 26.7% measures, and how much collateral, and through which channels, can be lost before Class C cash flows change. Quantify at least two channels.</w:t>
      </w:r>
    </w:p>
    <w:p>
      <w:pPr>
        <w:pStyle w:val="ListNumber"/>
        <w:spacing w:after="60"/>
      </w:pPr>
      <w:r>
        <w:t>Relative value (judgement). Is S+2.20% fair for this tranche? Explain your pricing anchor, given that no verified middle-market AA–A band exists (Exhibit 6A and 6B). Then compare the spread net of expected loss and of an RBC capital charge under the Dec 31, 2026 NAIC factors and the insurer's policy (Exhibit 6C and 6D). Do this for Class C at A (sf), after a one-notch and a three-notch downgrade, and against a direct middle-market loan at S+5.00% [PC-1] held as NAIC 4.A. Include the effect of the Non-Call Period and Re-Pricing on what the insurer keeps.</w:t>
      </w:r>
    </w:p>
    <w:p>
      <w:pPr>
        <w:pStyle w:val="ListNumber"/>
        <w:spacing w:after="60"/>
      </w:pPr>
      <w:r>
        <w:t>Manager and alignment (judgement). OBDC is the seller of the loans, owner of all the equity, and client of the Collateral Manager, and the management fees are waived but can be reinstated. What does this mean for Class C holders? Cover loan selection, ramp-up purchases, reinvestment, the fee waiver, and the S&amp;P-only rating. Say what diligence you need before settlement.</w:t>
      </w:r>
    </w:p>
    <w:p>
      <w:pPr>
        <w:pStyle w:val="ListNumber"/>
        <w:spacing w:after="60"/>
      </w:pPr>
      <w:r>
        <w:t>Recommendation. Recommend buy, buy with conditions, or pass. Give a hold size within the policy limits in Exhibit 6D (including existing Blue Owl CLO exposure), the conditions to settlement, and three to five monitoring triggers with levels drawn from the Trustee reports (for example the Class C OC cushion, CCC share, defaulted par and weighted average spread).</w:t>
      </w:r>
    </w:p>
    <w:p>
      <w:pPr>
        <w:spacing w:after="80"/>
      </w:pPr>
      <w:r>
        <w:t>IC Simulator · Owl Rock CLO XXVI: Class C notes · Intermediate · Practice use only. Data book: exhibits-owl-rock-clo-xxvi-class-c.xlsx.</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475"/>
        <w:sz w:val="16"/>
      </w:rPr>
      <w:t xml:space="preserve">IC Simulator · Owl Rock CLO XXVI: Class C notes · Intermediate · Practice use only · Page </w:t>
    </w:r>
    <w:r>
      <w:rPr>
        <w:color w:val="5B6475"/>
        <w:sz w:val="16"/>
      </w:rPr>
      <w:fldChar w:fldCharType="begin"/>
      <w:instrText xml:space="preserve">PAGE</w:instrText>
      <w:fldChar w:fldCharType="end"/>
    </w:r>
    <w:r>
      <w:rPr>
        <w:color w:val="5B6475"/>
        <w:sz w:val="16"/>
      </w:rPr>
      <w:t xml:space="preserve"> of </w:t>
    </w:r>
    <w:r>
      <w:rPr>
        <w:color w:val="5B6475"/>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475"/>
        <w:sz w:val="16"/>
      </w:rPr>
      <w:t>Owl Rock CLO XXVI: Class C notes · Investment Committee packet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A31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182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182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2182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