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eastAsia="Georgia"/>
          <w:b/>
          <w:i w:val="0"/>
          <w:color w:val="121826"/>
          <w:sz w:val="36"/>
        </w:rPr>
        <w:t>Regions: partner with private credit?</w:t>
      </w:r>
    </w:p>
    <w:p>
      <w:r>
        <w:rPr>
          <w:rFonts w:ascii="Arial" w:hAnsi="Arial" w:eastAsia="Arial"/>
          <w:b/>
          <w:i w:val="0"/>
          <w:color w:val="2A3140"/>
          <w:sz w:val="21"/>
        </w:rPr>
        <w:t>Consulting · Intermediate · Half day (3–4 hours) · Case date: Monday 12 October 2026 · Data as of 9 October 2026</w:t>
      </w:r>
    </w:p>
    <w:tbl>
      <w:tblPr>
        <w:tblW w:type="auto" w:w="0"/>
        <w:tblLook w:firstColumn="1" w:firstRow="1" w:lastColumn="0" w:lastRow="0" w:noHBand="0" w:noVBand="1" w:val="04A0"/>
      </w:tblPr>
      <w:tblGrid>
        <w:gridCol w:w="9360"/>
      </w:tblGrid>
      <w:tr>
        <w:tc>
          <w:tcPr>
            <w:tcW w:type="dxa" w:w="9360"/>
            <w:shd w:val="clear" w:color="auto" w:fill="F2F4F8"/>
          </w:tcPr>
          <w:p>
            <w:r>
              <w:rPr>
                <w:rFonts w:ascii="Arial" w:hAnsi="Arial" w:eastAsia="Arial"/>
                <w:b w:val="0"/>
                <w:i w:val="0"/>
                <w:color w:val="2A3140"/>
                <w:sz w:val="19"/>
              </w:rPr>
              <w:t>About this case. The client, Regions Financial Corporation, is real, and every client and market figure comes from its SEC filings, its earnings releases and dated public sources, cited in brackets (for example [R3]); the source list is in the data book README. The engagement, the advisory firm (Halden Street Partners), the stakeholder interviews and the client-provided figures in Exhibit 8 are hypothetical and labelled. Nothing here is a statement by Regions or its executives. Practice use only. Figures are in $ millions ($M) unless stated. The data book is exhibits-regions-private-credit-partnership.xlsx (Exhibits 1–8 and a Checks tab). This packet is the client briefing book; the engagement letter is section 7. No executive summary or deck content ships with this case; a blank deck template in house style does.</w:t>
            </w:r>
          </w:p>
        </w:tc>
      </w:tr>
    </w:tbl>
    <w:p/>
    <w:p>
      <w:pPr>
        <w:spacing w:before="200"/>
      </w:pPr>
      <w:r>
        <w:rPr>
          <w:rFonts w:ascii="Georgia" w:hAnsi="Georgia" w:eastAsia="Georgia"/>
          <w:b/>
          <w:i w:val="0"/>
          <w:color w:val="1E3A5F"/>
          <w:sz w:val="26"/>
        </w:rPr>
        <w:t>0. The ask</w:t>
      </w:r>
    </w:p>
    <w:p>
      <w:r>
        <w:rPr>
          <w:rFonts w:ascii="Arial" w:hAnsi="Arial" w:eastAsia="Arial"/>
          <w:b w:val="0"/>
          <w:i w:val="0"/>
          <w:color w:val="2A3140"/>
          <w:sz w:val="21"/>
        </w:rPr>
        <w:t>You are a manager at Halden Street Partners, a fictional strategy firm with a financial-services practice. The Chief Financial Officer and the Head of Corporate Banking at Regions have asked: "Should Regions respond to private credit's growth in our middle market, and if so, how?" (HYPOTHETICAL engagement). The steering committee meets on Thursday 15 October 2026. Deliverables: a written executive summary of one to two pages, which is graded, and a 10–12 slide recommendation deck as a supporting file; a backup model is optional. Time budget: half day (3–4 hours).</w:t>
      </w:r>
    </w:p>
    <w:p>
      <w:pPr>
        <w:spacing w:before="200"/>
      </w:pPr>
      <w:r>
        <w:rPr>
          <w:rFonts w:ascii="Georgia" w:hAnsi="Georgia" w:eastAsia="Georgia"/>
          <w:b/>
          <w:i w:val="0"/>
          <w:color w:val="1E3A5F"/>
          <w:sz w:val="26"/>
        </w:rPr>
        <w:t>1. Engagement summary</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050"/>
        <w:gridCol w:w="6310"/>
      </w:tblGrid>
      <w:tr>
        <w:tc>
          <w:tcPr>
            <w:tcW w:type="dxa" w:w="3050"/>
            <w:shd w:val="clear" w:color="auto" w:fill="E4EAF3"/>
          </w:tcPr>
          <w:p>
            <w:r>
              <w:rPr>
                <w:rFonts w:ascii="Arial" w:hAnsi="Arial" w:eastAsia="Arial"/>
                <w:b/>
                <w:i w:val="0"/>
                <w:color w:val="121826"/>
                <w:sz w:val="17"/>
              </w:rPr>
              <w:t>Item</w:t>
            </w:r>
          </w:p>
        </w:tc>
        <w:tc>
          <w:tcPr>
            <w:tcW w:type="dxa" w:w="6310"/>
            <w:shd w:val="clear" w:color="auto" w:fill="E4EAF3"/>
          </w:tcPr>
          <w:p>
            <w:r>
              <w:rPr>
                <w:rFonts w:ascii="Arial" w:hAnsi="Arial" w:eastAsia="Arial"/>
                <w:b/>
                <w:i w:val="0"/>
                <w:color w:val="121826"/>
                <w:sz w:val="17"/>
              </w:rPr>
              <w:t>Detail</w:t>
            </w:r>
          </w:p>
        </w:tc>
      </w:tr>
      <w:tr>
        <w:tc>
          <w:tcPr>
            <w:tcW w:type="dxa" w:w="3050"/>
          </w:tcPr>
          <w:p>
            <w:r>
              <w:rPr>
                <w:rFonts w:ascii="Arial" w:hAnsi="Arial" w:eastAsia="Arial"/>
                <w:b w:val="0"/>
                <w:i w:val="0"/>
                <w:color w:val="2A3140"/>
                <w:sz w:val="17"/>
              </w:rPr>
              <w:t>Client</w:t>
            </w:r>
          </w:p>
        </w:tc>
        <w:tc>
          <w:tcPr>
            <w:tcW w:type="dxa" w:w="6310"/>
          </w:tcPr>
          <w:p>
            <w:r>
              <w:rPr>
                <w:rFonts w:ascii="Arial" w:hAnsi="Arial" w:eastAsia="Arial"/>
                <w:b w:val="0"/>
                <w:i w:val="0"/>
                <w:color w:val="2A3140"/>
                <w:sz w:val="17"/>
              </w:rPr>
              <w:t>Regions Financial Corporation (NYSE: RF) and Regions Bank, Birmingham, Alabama</w:t>
            </w:r>
          </w:p>
        </w:tc>
      </w:tr>
      <w:tr>
        <w:tc>
          <w:tcPr>
            <w:tcW w:type="dxa" w:w="3050"/>
          </w:tcPr>
          <w:p>
            <w:r>
              <w:rPr>
                <w:rFonts w:ascii="Arial" w:hAnsi="Arial" w:eastAsia="Arial"/>
                <w:b w:val="0"/>
                <w:i w:val="0"/>
                <w:color w:val="2A3140"/>
                <w:sz w:val="17"/>
              </w:rPr>
              <w:t>Sponsors (HYPOTHETICAL)</w:t>
            </w:r>
          </w:p>
        </w:tc>
        <w:tc>
          <w:tcPr>
            <w:tcW w:type="dxa" w:w="6310"/>
          </w:tcPr>
          <w:p>
            <w:r>
              <w:rPr>
                <w:rFonts w:ascii="Arial" w:hAnsi="Arial" w:eastAsia="Arial"/>
                <w:b w:val="0"/>
                <w:i w:val="0"/>
                <w:color w:val="2A3140"/>
                <w:sz w:val="17"/>
              </w:rPr>
              <w:t>Chief Financial Officer; Head of Corporate Banking</w:t>
            </w:r>
          </w:p>
        </w:tc>
      </w:tr>
      <w:tr>
        <w:tc>
          <w:tcPr>
            <w:tcW w:type="dxa" w:w="3050"/>
          </w:tcPr>
          <w:p>
            <w:r>
              <w:rPr>
                <w:rFonts w:ascii="Arial" w:hAnsi="Arial" w:eastAsia="Arial"/>
                <w:b w:val="0"/>
                <w:i w:val="0"/>
                <w:color w:val="2A3140"/>
                <w:sz w:val="17"/>
              </w:rPr>
              <w:t>Question</w:t>
            </w:r>
          </w:p>
        </w:tc>
        <w:tc>
          <w:tcPr>
            <w:tcW w:type="dxa" w:w="6310"/>
          </w:tcPr>
          <w:p>
            <w:r>
              <w:rPr>
                <w:rFonts w:ascii="Arial" w:hAnsi="Arial" w:eastAsia="Arial"/>
                <w:b w:val="0"/>
                <w:i w:val="0"/>
                <w:color w:val="2A3140"/>
                <w:sz w:val="17"/>
              </w:rPr>
              <w:t>Whether and how Regions should respond to private credit in its middle-market lending</w:t>
            </w:r>
          </w:p>
        </w:tc>
      </w:tr>
      <w:tr>
        <w:tc>
          <w:tcPr>
            <w:tcW w:type="dxa" w:w="3050"/>
          </w:tcPr>
          <w:p>
            <w:r>
              <w:rPr>
                <w:rFonts w:ascii="Arial" w:hAnsi="Arial" w:eastAsia="Arial"/>
                <w:b w:val="0"/>
                <w:i w:val="0"/>
                <w:color w:val="2A3140"/>
                <w:sz w:val="17"/>
              </w:rPr>
              <w:t>Options in scope</w:t>
            </w:r>
          </w:p>
        </w:tc>
        <w:tc>
          <w:tcPr>
            <w:tcW w:type="dxa" w:w="6310"/>
          </w:tcPr>
          <w:p>
            <w:r>
              <w:rPr>
                <w:rFonts w:ascii="Arial" w:hAnsi="Arial" w:eastAsia="Arial"/>
                <w:b w:val="0"/>
                <w:i w:val="0"/>
                <w:color w:val="2A3140"/>
                <w:sz w:val="17"/>
              </w:rPr>
              <w:t>(A) status quo with informal referrals; (B) a referral or deal-sourcing partnership earning fees; (C) a co-sponsored fund or joint venture with a minority stake and a balance-sheet commitment; (D) Regions' own direct lending vehicle, such as a business development company (BDC)</w:t>
            </w:r>
          </w:p>
        </w:tc>
      </w:tr>
      <w:tr>
        <w:tc>
          <w:tcPr>
            <w:tcW w:type="dxa" w:w="3050"/>
          </w:tcPr>
          <w:p>
            <w:r>
              <w:rPr>
                <w:rFonts w:ascii="Arial" w:hAnsi="Arial" w:eastAsia="Arial"/>
                <w:b w:val="0"/>
                <w:i w:val="0"/>
                <w:color w:val="2A3140"/>
                <w:sz w:val="17"/>
              </w:rPr>
              <w:t>Client scale (30 June 2026)</w:t>
            </w:r>
          </w:p>
        </w:tc>
        <w:tc>
          <w:tcPr>
            <w:tcW w:type="dxa" w:w="6310"/>
          </w:tcPr>
          <w:p>
            <w:r>
              <w:rPr>
                <w:rFonts w:ascii="Arial" w:hAnsi="Arial" w:eastAsia="Arial"/>
                <w:b w:val="0"/>
                <w:i w:val="0"/>
                <w:color w:val="2A3140"/>
                <w:sz w:val="17"/>
              </w:rPr>
              <w:t>Total assets $161.3bn; loans $99.2bn, of which commercial and industrial (C&amp;I) $51.8bn; CET1 ratio 10.72% (estimated)</w:t>
            </w:r>
          </w:p>
        </w:tc>
      </w:tr>
      <w:tr>
        <w:tc>
          <w:tcPr>
            <w:tcW w:type="dxa" w:w="3050"/>
          </w:tcPr>
          <w:p>
            <w:r>
              <w:rPr>
                <w:rFonts w:ascii="Arial" w:hAnsi="Arial" w:eastAsia="Arial"/>
                <w:b w:val="0"/>
                <w:i w:val="0"/>
                <w:color w:val="2A3140"/>
                <w:sz w:val="17"/>
              </w:rPr>
              <w:t>Base rate for any all-in rate</w:t>
            </w:r>
          </w:p>
        </w:tc>
        <w:tc>
          <w:tcPr>
            <w:tcW w:type="dxa" w:w="6310"/>
          </w:tcPr>
          <w:p>
            <w:r>
              <w:rPr>
                <w:rFonts w:ascii="Arial" w:hAnsi="Arial" w:eastAsia="Arial"/>
                <w:b w:val="0"/>
                <w:i w:val="0"/>
                <w:color w:val="2A3140"/>
                <w:sz w:val="17"/>
              </w:rPr>
              <w:t>1-month (1M) CME Term SOFR 3.925% on 9 October 2026 (CME data via global-rates.com) [R14]</w:t>
            </w:r>
          </w:p>
        </w:tc>
      </w:tr>
      <w:tr>
        <w:tc>
          <w:tcPr>
            <w:tcW w:type="dxa" w:w="3050"/>
          </w:tcPr>
          <w:p>
            <w:r>
              <w:rPr>
                <w:rFonts w:ascii="Arial" w:hAnsi="Arial" w:eastAsia="Arial"/>
                <w:b w:val="0"/>
                <w:i w:val="0"/>
                <w:color w:val="2A3140"/>
                <w:sz w:val="17"/>
              </w:rPr>
              <w:t>Status of the market</w:t>
            </w:r>
          </w:p>
        </w:tc>
        <w:tc>
          <w:tcPr>
            <w:tcW w:type="dxa" w:w="6310"/>
          </w:tcPr>
          <w:p>
            <w:r>
              <w:rPr>
                <w:rFonts w:ascii="Arial" w:hAnsi="Arial" w:eastAsia="Arial"/>
                <w:b w:val="0"/>
                <w:i w:val="0"/>
                <w:color w:val="2A3140"/>
                <w:sz w:val="17"/>
              </w:rPr>
              <w:t>No private credit partnership by Regions had been announced as of 12 October 2026 (search of Regions' press releases and news, 12 October 2026)</w:t>
            </w:r>
          </w:p>
        </w:tc>
      </w:tr>
    </w:tbl>
    <w:p>
      <w:pPr>
        <w:spacing w:after="40"/>
      </w:pPr>
    </w:p>
    <w:p>
      <w:pPr>
        <w:spacing w:before="200"/>
      </w:pPr>
      <w:r>
        <w:rPr>
          <w:rFonts w:ascii="Georgia" w:hAnsi="Georgia" w:eastAsia="Georgia"/>
          <w:b/>
          <w:i w:val="0"/>
          <w:color w:val="1E3A5F"/>
          <w:sz w:val="26"/>
        </w:rPr>
        <w:t>2. Client overview</w:t>
      </w:r>
    </w:p>
    <w:p>
      <w:r>
        <w:rPr>
          <w:rFonts w:ascii="Arial" w:hAnsi="Arial" w:eastAsia="Arial"/>
          <w:b w:val="0"/>
          <w:i w:val="0"/>
          <w:color w:val="2A3140"/>
          <w:sz w:val="21"/>
        </w:rPr>
        <w:t>Regions is a regional bank holding company with $161.3bn of assets at 30 June 2026, serving customers across the South, Midwest and Texas through more than 1,200 banking offices [R3,R7]. It reports three segments: Corporate Bank, Consumer Bank and Wealth Management. The Corporate Bank earned $483M of net interest income in the second quarter of 2026, 37.8% of the group total, plus $242M of non-interest income, including $84M of capital markets income and $28M of commercial credit fees (Exhibit 4).</w:t>
      </w:r>
    </w:p>
    <w:p>
      <w:r>
        <w:rPr>
          <w:rFonts w:ascii="Arial" w:hAnsi="Arial" w:eastAsia="Arial"/>
          <w:b w:val="0"/>
          <w:i w:val="0"/>
          <w:color w:val="2A3140"/>
          <w:sz w:val="21"/>
        </w:rPr>
        <w:t>Lending is the core of the model. Loans were $99,200M at 30 June 2026, and C&amp;I loans of $51,841M were 52.3% of the book, up from $48,790M at the end of 2025, after two years of decline from $50,865M at the end of 2023 and $49,671M at the end of 2024. Regions' 10-K for 2025 says C&amp;I loans fell in 2025 "due to strategic runoff in leveraged lending, continued portfolio resolutions, and loans refinancing off the balance sheet through the debt capital markets" (MD&amp;A, Portfolio characteristics, p.59) [R1]; for 2024 it cited "lower line of credit utilization and loans refinanced off the Company's balance sheet through the debt capital markets" (10-K for 2024, MD&amp;A, p.62) [R20]. C&amp;I loans yielded 5.36% in the quarter on a taxable-equivalent basis. The bank funds them with $130,710M of deposits, of which $39,952M sit in the Corporate Bank. Unused commitments to extend credit were $70,469M (Exhibit 3).</w:t>
      </w:r>
    </w:p>
    <w:p>
      <w:r>
        <w:rPr>
          <w:rFonts w:ascii="Arial" w:hAnsi="Arial" w:eastAsia="Arial"/>
          <w:b w:val="0"/>
          <w:i w:val="0"/>
          <w:color w:val="2A3140"/>
          <w:sz w:val="21"/>
        </w:rPr>
        <w:t>Return on average tangible common equity (ROATCE) was 19.01% in the second quarter of 2026, and the net interest margin 3.66% (Exhibit 2). Business criticized loans fell from 7.22% of business loans in the second quarter of 2025 to 5.01% a year later. Regions is a standardized-approach, Category IV bank with a stress capital buffer of 2.5% (Exhibit 5).</w:t>
      </w:r>
    </w:p>
    <w:p>
      <w:r>
        <w:rPr>
          <w:rFonts w:ascii="Arial" w:hAnsi="Arial" w:eastAsia="Arial"/>
          <w:b w:val="0"/>
          <w:i w:val="0"/>
          <w:color w:val="2A3140"/>
          <w:sz w:val="21"/>
        </w:rPr>
        <w:t>Regions is building fee businesses around the Corporate Bank. In July 2026 it closed the acquisition of The Frazer Lanier Company, a municipal and corporate investment bank [R6]. On 26 August 2026 it launched Regions Whole Loan Advisory, which helps banks and investors buy and sell whole-loan portfolios [R7]. On 7 October 2026 it launched a Materials and Infrastructure Group in Corporate Banking [R18]. In June 2024 its chief executive described private credit providers as competitors that offer more leverage, longer terms and larger loans than Regions would [R19].</w:t>
      </w:r>
    </w:p>
    <w:p>
      <w:pPr>
        <w:spacing w:before="200"/>
      </w:pPr>
      <w:r>
        <w:rPr>
          <w:rFonts w:ascii="Georgia" w:hAnsi="Georgia" w:eastAsia="Georgia"/>
          <w:b/>
          <w:i w:val="0"/>
          <w:color w:val="1E3A5F"/>
          <w:sz w:val="26"/>
        </w:rPr>
        <w:t>3. Market: private credit and the banks</w:t>
      </w:r>
    </w:p>
    <w:p>
      <w:r>
        <w:rPr>
          <w:rFonts w:ascii="Arial" w:hAnsi="Arial" w:eastAsia="Arial"/>
          <w:b w:val="0"/>
          <w:i w:val="0"/>
          <w:color w:val="2A3140"/>
          <w:sz w:val="21"/>
        </w:rPr>
        <w:t>Direct lenders compete with banks for middle-market and sponsor-backed loans and price above the syndicated market. In the twelve months to 30 June 2026, direct lending buyout loans priced at SOFR + 497bp against SOFR + 340bp for broadly syndicated loans, a premium of 155bp (140bp year to date) (PitchBook LCD data cited by Portage Point) [R17]. With 1M CME Term SOFR at 3.925% on 9 October 2026 [R14], the direct lending spread implies an all-in coupon of about 8.89% before fees. The Term SOFR curve slopes upward, to 4.472% for 12 months on the same date [R14]. Federal Reserve staff found that private credit borrowers financed in 2025 had median leverage of 5.0x debt to EBITDA and average interest cover of 2.2x, against 3.2x and 3.7x for leveraged loan borrowers (FEDS Note, 11 August 2026, Table 1) [R21]. The Federal Reserve's target range has been 3.75%–4.00% since 16 September 2026 [R16].</w:t>
      </w:r>
    </w:p>
    <w:p>
      <w:r>
        <w:rPr>
          <w:rFonts w:ascii="Arial" w:hAnsi="Arial" w:eastAsia="Arial"/>
          <w:b w:val="0"/>
          <w:i w:val="0"/>
          <w:color w:val="2A3140"/>
          <w:sz w:val="21"/>
        </w:rPr>
        <w:t>Banks have answered with partnerships. Deloitte found 16 partnerships between the 50 largest US banks and private credit firms by July 2025, in four forms: deal sourcing, deal sourcing with optional co-investment, joint ventures and bank-led direct lending [R13]. Exhibit 6 sets out five precedents, each verified against the partners' own press releases: Citi–Apollo ($25bn program), Wells Fargo–Centerbridge (Overland, at least $5bn of investible capital), PNC–TCW ($2.5bn of first-year equity), Fifth Third–Eldridge (terms not disclosed) and Texas Capital–Phoenix Merchant Partners (Spurstone Credit, announced in June 2026 for a third-quarter launch). Banks also lend to the funds: loans to non-depository financial institutions were almost 10% of US bank loans in mid-2025 [R13].</w:t>
      </w:r>
    </w:p>
    <w:p>
      <w:pPr>
        <w:spacing w:before="200"/>
      </w:pPr>
      <w:r>
        <w:rPr>
          <w:rFonts w:ascii="Georgia" w:hAnsi="Georgia" w:eastAsia="Georgia"/>
          <w:b/>
          <w:i w:val="0"/>
          <w:color w:val="1E3A5F"/>
          <w:sz w:val="26"/>
        </w:rPr>
        <w:t>4. Financial summary ($M, FYE December)</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4626"/>
        <w:gridCol w:w="1183"/>
        <w:gridCol w:w="1183"/>
        <w:gridCol w:w="1183"/>
        <w:gridCol w:w="1183"/>
      </w:tblGrid>
      <w:tr>
        <w:tc>
          <w:tcPr>
            <w:tcW w:type="dxa" w:w="4626"/>
            <w:shd w:val="clear" w:color="auto" w:fill="E4EAF3"/>
          </w:tcPr>
          <w:p>
            <w:r>
              <w:rPr>
                <w:rFonts w:ascii="Arial" w:hAnsi="Arial" w:eastAsia="Arial"/>
                <w:b/>
                <w:i w:val="0"/>
                <w:color w:val="121826"/>
                <w:sz w:val="17"/>
              </w:rPr>
              <w:t>$M unless stated</w:t>
            </w:r>
          </w:p>
        </w:tc>
        <w:tc>
          <w:tcPr>
            <w:tcW w:type="dxa" w:w="1183"/>
            <w:shd w:val="clear" w:color="auto" w:fill="E4EAF3"/>
          </w:tcPr>
          <w:p>
            <w:pPr>
              <w:jc w:val="right"/>
            </w:pPr>
            <w:r>
              <w:rPr>
                <w:rFonts w:ascii="Arial" w:hAnsi="Arial" w:eastAsia="Arial"/>
                <w:b/>
                <w:i w:val="0"/>
                <w:color w:val="121826"/>
                <w:sz w:val="17"/>
              </w:rPr>
              <w:t>FY23A</w:t>
            </w:r>
          </w:p>
        </w:tc>
        <w:tc>
          <w:tcPr>
            <w:tcW w:type="dxa" w:w="1183"/>
            <w:shd w:val="clear" w:color="auto" w:fill="E4EAF3"/>
          </w:tcPr>
          <w:p>
            <w:pPr>
              <w:jc w:val="right"/>
            </w:pPr>
            <w:r>
              <w:rPr>
                <w:rFonts w:ascii="Arial" w:hAnsi="Arial" w:eastAsia="Arial"/>
                <w:b/>
                <w:i w:val="0"/>
                <w:color w:val="121826"/>
                <w:sz w:val="17"/>
              </w:rPr>
              <w:t>FY24A</w:t>
            </w:r>
          </w:p>
        </w:tc>
        <w:tc>
          <w:tcPr>
            <w:tcW w:type="dxa" w:w="1183"/>
            <w:shd w:val="clear" w:color="auto" w:fill="E4EAF3"/>
          </w:tcPr>
          <w:p>
            <w:pPr>
              <w:jc w:val="right"/>
            </w:pPr>
            <w:r>
              <w:rPr>
                <w:rFonts w:ascii="Arial" w:hAnsi="Arial" w:eastAsia="Arial"/>
                <w:b/>
                <w:i w:val="0"/>
                <w:color w:val="121826"/>
                <w:sz w:val="17"/>
              </w:rPr>
              <w:t>FY25A</w:t>
            </w:r>
          </w:p>
        </w:tc>
        <w:tc>
          <w:tcPr>
            <w:tcW w:type="dxa" w:w="1183"/>
            <w:shd w:val="clear" w:color="auto" w:fill="E4EAF3"/>
          </w:tcPr>
          <w:p>
            <w:pPr>
              <w:jc w:val="right"/>
            </w:pPr>
            <w:r>
              <w:rPr>
                <w:rFonts w:ascii="Arial" w:hAnsi="Arial" w:eastAsia="Arial"/>
                <w:b/>
                <w:i w:val="0"/>
                <w:color w:val="121826"/>
                <w:sz w:val="17"/>
              </w:rPr>
              <w:t>LTM Jun-26</w:t>
            </w:r>
          </w:p>
        </w:tc>
      </w:tr>
      <w:tr>
        <w:tc>
          <w:tcPr>
            <w:tcW w:type="dxa" w:w="4626"/>
          </w:tcPr>
          <w:p>
            <w:r>
              <w:rPr>
                <w:rFonts w:ascii="Arial" w:hAnsi="Arial" w:eastAsia="Arial"/>
                <w:b w:val="0"/>
                <w:i w:val="0"/>
                <w:color w:val="2A3140"/>
                <w:sz w:val="17"/>
              </w:rPr>
              <w:t>Net interest income</w:t>
            </w:r>
          </w:p>
        </w:tc>
        <w:tc>
          <w:tcPr>
            <w:tcW w:type="dxa" w:w="1183"/>
          </w:tcPr>
          <w:p>
            <w:pPr>
              <w:jc w:val="right"/>
            </w:pPr>
            <w:r>
              <w:rPr>
                <w:rFonts w:ascii="Arial" w:hAnsi="Arial" w:eastAsia="Arial"/>
                <w:b w:val="0"/>
                <w:i w:val="0"/>
                <w:color w:val="2A3140"/>
                <w:sz w:val="17"/>
              </w:rPr>
              <w:t>5,320</w:t>
            </w:r>
          </w:p>
        </w:tc>
        <w:tc>
          <w:tcPr>
            <w:tcW w:type="dxa" w:w="1183"/>
          </w:tcPr>
          <w:p>
            <w:pPr>
              <w:jc w:val="right"/>
            </w:pPr>
            <w:r>
              <w:rPr>
                <w:rFonts w:ascii="Arial" w:hAnsi="Arial" w:eastAsia="Arial"/>
                <w:b w:val="0"/>
                <w:i w:val="0"/>
                <w:color w:val="2A3140"/>
                <w:sz w:val="17"/>
              </w:rPr>
              <w:t>4,818</w:t>
            </w:r>
          </w:p>
        </w:tc>
        <w:tc>
          <w:tcPr>
            <w:tcW w:type="dxa" w:w="1183"/>
          </w:tcPr>
          <w:p>
            <w:pPr>
              <w:jc w:val="right"/>
            </w:pPr>
            <w:r>
              <w:rPr>
                <w:rFonts w:ascii="Arial" w:hAnsi="Arial" w:eastAsia="Arial"/>
                <w:b w:val="0"/>
                <w:i w:val="0"/>
                <w:color w:val="2A3140"/>
                <w:sz w:val="17"/>
              </w:rPr>
              <w:t>4,991</w:t>
            </w:r>
          </w:p>
        </w:tc>
        <w:tc>
          <w:tcPr>
            <w:tcW w:type="dxa" w:w="1183"/>
          </w:tcPr>
          <w:p>
            <w:pPr>
              <w:jc w:val="right"/>
            </w:pPr>
            <w:r>
              <w:rPr>
                <w:rFonts w:ascii="Arial" w:hAnsi="Arial" w:eastAsia="Arial"/>
                <w:b w:val="0"/>
                <w:i w:val="0"/>
                <w:color w:val="2A3140"/>
                <w:sz w:val="17"/>
              </w:rPr>
              <w:t>5,063</w:t>
            </w:r>
          </w:p>
        </w:tc>
      </w:tr>
      <w:tr>
        <w:tc>
          <w:tcPr>
            <w:tcW w:type="dxa" w:w="4626"/>
          </w:tcPr>
          <w:p>
            <w:r>
              <w:rPr>
                <w:rFonts w:ascii="Arial" w:hAnsi="Arial" w:eastAsia="Arial"/>
                <w:b w:val="0"/>
                <w:i w:val="0"/>
                <w:color w:val="2A3140"/>
                <w:sz w:val="17"/>
              </w:rPr>
              <w:t>Non-interest income</w:t>
            </w:r>
          </w:p>
        </w:tc>
        <w:tc>
          <w:tcPr>
            <w:tcW w:type="dxa" w:w="1183"/>
          </w:tcPr>
          <w:p>
            <w:pPr>
              <w:jc w:val="right"/>
            </w:pPr>
            <w:r>
              <w:rPr>
                <w:rFonts w:ascii="Arial" w:hAnsi="Arial" w:eastAsia="Arial"/>
                <w:b w:val="0"/>
                <w:i w:val="0"/>
                <w:color w:val="2A3140"/>
                <w:sz w:val="17"/>
              </w:rPr>
              <w:t>2,256</w:t>
            </w:r>
          </w:p>
        </w:tc>
        <w:tc>
          <w:tcPr>
            <w:tcW w:type="dxa" w:w="1183"/>
          </w:tcPr>
          <w:p>
            <w:pPr>
              <w:jc w:val="right"/>
            </w:pPr>
            <w:r>
              <w:rPr>
                <w:rFonts w:ascii="Arial" w:hAnsi="Arial" w:eastAsia="Arial"/>
                <w:b w:val="0"/>
                <w:i w:val="0"/>
                <w:color w:val="2A3140"/>
                <w:sz w:val="17"/>
              </w:rPr>
              <w:t>2,265</w:t>
            </w:r>
          </w:p>
        </w:tc>
        <w:tc>
          <w:tcPr>
            <w:tcW w:type="dxa" w:w="1183"/>
          </w:tcPr>
          <w:p>
            <w:pPr>
              <w:jc w:val="right"/>
            </w:pPr>
            <w:r>
              <w:rPr>
                <w:rFonts w:ascii="Arial" w:hAnsi="Arial" w:eastAsia="Arial"/>
                <w:b w:val="0"/>
                <w:i w:val="0"/>
                <w:color w:val="2A3140"/>
                <w:sz w:val="17"/>
              </w:rPr>
              <w:t>2,535</w:t>
            </w:r>
          </w:p>
        </w:tc>
        <w:tc>
          <w:tcPr>
            <w:tcW w:type="dxa" w:w="1183"/>
          </w:tcPr>
          <w:p>
            <w:pPr>
              <w:jc w:val="right"/>
            </w:pPr>
            <w:r>
              <w:rPr>
                <w:rFonts w:ascii="Arial" w:hAnsi="Arial" w:eastAsia="Arial"/>
                <w:b w:val="0"/>
                <w:i w:val="0"/>
                <w:color w:val="2A3140"/>
                <w:sz w:val="17"/>
              </w:rPr>
              <w:t>2,554</w:t>
            </w:r>
          </w:p>
        </w:tc>
      </w:tr>
      <w:tr>
        <w:tc>
          <w:tcPr>
            <w:tcW w:type="dxa" w:w="4626"/>
          </w:tcPr>
          <w:p>
            <w:r>
              <w:rPr>
                <w:rFonts w:ascii="Arial" w:hAnsi="Arial" w:eastAsia="Arial"/>
                <w:b w:val="0"/>
                <w:i w:val="0"/>
                <w:color w:val="2A3140"/>
                <w:sz w:val="17"/>
              </w:rPr>
              <w:t>(−) Non-interest expense</w:t>
            </w:r>
          </w:p>
        </w:tc>
        <w:tc>
          <w:tcPr>
            <w:tcW w:type="dxa" w:w="1183"/>
          </w:tcPr>
          <w:p>
            <w:pPr>
              <w:jc w:val="right"/>
            </w:pPr>
            <w:r>
              <w:rPr>
                <w:rFonts w:ascii="Arial" w:hAnsi="Arial" w:eastAsia="Arial"/>
                <w:b w:val="0"/>
                <w:i w:val="0"/>
                <w:color w:val="2A3140"/>
                <w:sz w:val="17"/>
              </w:rPr>
              <w:t>4,416</w:t>
            </w:r>
          </w:p>
        </w:tc>
        <w:tc>
          <w:tcPr>
            <w:tcW w:type="dxa" w:w="1183"/>
          </w:tcPr>
          <w:p>
            <w:pPr>
              <w:jc w:val="right"/>
            </w:pPr>
            <w:r>
              <w:rPr>
                <w:rFonts w:ascii="Arial" w:hAnsi="Arial" w:eastAsia="Arial"/>
                <w:b w:val="0"/>
                <w:i w:val="0"/>
                <w:color w:val="2A3140"/>
                <w:sz w:val="17"/>
              </w:rPr>
              <w:t>4,242</w:t>
            </w:r>
          </w:p>
        </w:tc>
        <w:tc>
          <w:tcPr>
            <w:tcW w:type="dxa" w:w="1183"/>
          </w:tcPr>
          <w:p>
            <w:pPr>
              <w:jc w:val="right"/>
            </w:pPr>
            <w:r>
              <w:rPr>
                <w:rFonts w:ascii="Arial" w:hAnsi="Arial" w:eastAsia="Arial"/>
                <w:b w:val="0"/>
                <w:i w:val="0"/>
                <w:color w:val="2A3140"/>
                <w:sz w:val="17"/>
              </w:rPr>
              <w:t>4,313</w:t>
            </w:r>
          </w:p>
        </w:tc>
        <w:tc>
          <w:tcPr>
            <w:tcW w:type="dxa" w:w="1183"/>
          </w:tcPr>
          <w:p>
            <w:pPr>
              <w:jc w:val="right"/>
            </w:pPr>
            <w:r>
              <w:rPr>
                <w:rFonts w:ascii="Arial" w:hAnsi="Arial" w:eastAsia="Arial"/>
                <w:b w:val="0"/>
                <w:i w:val="0"/>
                <w:color w:val="2A3140"/>
                <w:sz w:val="17"/>
              </w:rPr>
              <w:t>4,390</w:t>
            </w:r>
          </w:p>
        </w:tc>
      </w:tr>
      <w:tr>
        <w:tc>
          <w:tcPr>
            <w:tcW w:type="dxa" w:w="4626"/>
          </w:tcPr>
          <w:p>
            <w:r>
              <w:rPr>
                <w:rFonts w:ascii="Arial" w:hAnsi="Arial" w:eastAsia="Arial"/>
                <w:b w:val="0"/>
                <w:i w:val="0"/>
                <w:color w:val="2A3140"/>
                <w:sz w:val="17"/>
              </w:rPr>
              <w:t>Pre-tax pre-provision income (PPNR)</w:t>
            </w:r>
          </w:p>
        </w:tc>
        <w:tc>
          <w:tcPr>
            <w:tcW w:type="dxa" w:w="1183"/>
          </w:tcPr>
          <w:p>
            <w:pPr>
              <w:jc w:val="right"/>
            </w:pPr>
            <w:r>
              <w:rPr>
                <w:rFonts w:ascii="Arial" w:hAnsi="Arial" w:eastAsia="Arial"/>
                <w:b w:val="0"/>
                <w:i w:val="0"/>
                <w:color w:val="2A3140"/>
                <w:sz w:val="17"/>
              </w:rPr>
              <w:t>3,160</w:t>
            </w:r>
          </w:p>
        </w:tc>
        <w:tc>
          <w:tcPr>
            <w:tcW w:type="dxa" w:w="1183"/>
          </w:tcPr>
          <w:p>
            <w:pPr>
              <w:jc w:val="right"/>
            </w:pPr>
            <w:r>
              <w:rPr>
                <w:rFonts w:ascii="Arial" w:hAnsi="Arial" w:eastAsia="Arial"/>
                <w:b w:val="0"/>
                <w:i w:val="0"/>
                <w:color w:val="2A3140"/>
                <w:sz w:val="17"/>
              </w:rPr>
              <w:t>2,841</w:t>
            </w:r>
          </w:p>
        </w:tc>
        <w:tc>
          <w:tcPr>
            <w:tcW w:type="dxa" w:w="1183"/>
          </w:tcPr>
          <w:p>
            <w:pPr>
              <w:jc w:val="right"/>
            </w:pPr>
            <w:r>
              <w:rPr>
                <w:rFonts w:ascii="Arial" w:hAnsi="Arial" w:eastAsia="Arial"/>
                <w:b w:val="0"/>
                <w:i w:val="0"/>
                <w:color w:val="2A3140"/>
                <w:sz w:val="17"/>
              </w:rPr>
              <w:t>3,213</w:t>
            </w:r>
          </w:p>
        </w:tc>
        <w:tc>
          <w:tcPr>
            <w:tcW w:type="dxa" w:w="1183"/>
          </w:tcPr>
          <w:p>
            <w:pPr>
              <w:jc w:val="right"/>
            </w:pPr>
            <w:r>
              <w:rPr>
                <w:rFonts w:ascii="Arial" w:hAnsi="Arial" w:eastAsia="Arial"/>
                <w:b w:val="0"/>
                <w:i w:val="0"/>
                <w:color w:val="2A3140"/>
                <w:sz w:val="17"/>
              </w:rPr>
              <w:t>3,227</w:t>
            </w:r>
          </w:p>
        </w:tc>
      </w:tr>
      <w:tr>
        <w:tc>
          <w:tcPr>
            <w:tcW w:type="dxa" w:w="4626"/>
          </w:tcPr>
          <w:p>
            <w:r>
              <w:rPr>
                <w:rFonts w:ascii="Arial" w:hAnsi="Arial" w:eastAsia="Arial"/>
                <w:b w:val="0"/>
                <w:i w:val="0"/>
                <w:color w:val="2A3140"/>
                <w:sz w:val="17"/>
              </w:rPr>
              <w:t>(−) Provision for credit losses</w:t>
            </w:r>
          </w:p>
        </w:tc>
        <w:tc>
          <w:tcPr>
            <w:tcW w:type="dxa" w:w="1183"/>
          </w:tcPr>
          <w:p>
            <w:pPr>
              <w:jc w:val="right"/>
            </w:pPr>
            <w:r>
              <w:rPr>
                <w:rFonts w:ascii="Arial" w:hAnsi="Arial" w:eastAsia="Arial"/>
                <w:b w:val="0"/>
                <w:i w:val="0"/>
                <w:color w:val="2A3140"/>
                <w:sz w:val="17"/>
              </w:rPr>
              <w:t>553</w:t>
            </w:r>
          </w:p>
        </w:tc>
        <w:tc>
          <w:tcPr>
            <w:tcW w:type="dxa" w:w="1183"/>
          </w:tcPr>
          <w:p>
            <w:pPr>
              <w:jc w:val="right"/>
            </w:pPr>
            <w:r>
              <w:rPr>
                <w:rFonts w:ascii="Arial" w:hAnsi="Arial" w:eastAsia="Arial"/>
                <w:b w:val="0"/>
                <w:i w:val="0"/>
                <w:color w:val="2A3140"/>
                <w:sz w:val="17"/>
              </w:rPr>
              <w:t>487</w:t>
            </w:r>
          </w:p>
        </w:tc>
        <w:tc>
          <w:tcPr>
            <w:tcW w:type="dxa" w:w="1183"/>
          </w:tcPr>
          <w:p>
            <w:pPr>
              <w:jc w:val="right"/>
            </w:pPr>
            <w:r>
              <w:rPr>
                <w:rFonts w:ascii="Arial" w:hAnsi="Arial" w:eastAsia="Arial"/>
                <w:b w:val="0"/>
                <w:i w:val="0"/>
                <w:color w:val="2A3140"/>
                <w:sz w:val="17"/>
              </w:rPr>
              <w:t>470</w:t>
            </w:r>
          </w:p>
        </w:tc>
        <w:tc>
          <w:tcPr>
            <w:tcW w:type="dxa" w:w="1183"/>
          </w:tcPr>
          <w:p>
            <w:pPr>
              <w:jc w:val="right"/>
            </w:pPr>
            <w:r>
              <w:rPr>
                <w:rFonts w:ascii="Arial" w:hAnsi="Arial" w:eastAsia="Arial"/>
                <w:b w:val="0"/>
                <w:i w:val="0"/>
                <w:color w:val="2A3140"/>
                <w:sz w:val="17"/>
              </w:rPr>
              <w:t>379</w:t>
            </w:r>
          </w:p>
        </w:tc>
      </w:tr>
      <w:tr>
        <w:tc>
          <w:tcPr>
            <w:tcW w:type="dxa" w:w="4626"/>
          </w:tcPr>
          <w:p>
            <w:r>
              <w:rPr>
                <w:rFonts w:ascii="Arial" w:hAnsi="Arial" w:eastAsia="Arial"/>
                <w:b w:val="0"/>
                <w:i w:val="0"/>
                <w:color w:val="2A3140"/>
                <w:sz w:val="17"/>
              </w:rPr>
              <w:t>Net income</w:t>
            </w:r>
          </w:p>
        </w:tc>
        <w:tc>
          <w:tcPr>
            <w:tcW w:type="dxa" w:w="1183"/>
          </w:tcPr>
          <w:p>
            <w:pPr>
              <w:jc w:val="right"/>
            </w:pPr>
            <w:r>
              <w:rPr>
                <w:rFonts w:ascii="Arial" w:hAnsi="Arial" w:eastAsia="Arial"/>
                <w:b w:val="0"/>
                <w:i w:val="0"/>
                <w:color w:val="2A3140"/>
                <w:sz w:val="17"/>
              </w:rPr>
              <w:t>2,074</w:t>
            </w:r>
          </w:p>
        </w:tc>
        <w:tc>
          <w:tcPr>
            <w:tcW w:type="dxa" w:w="1183"/>
          </w:tcPr>
          <w:p>
            <w:pPr>
              <w:jc w:val="right"/>
            </w:pPr>
            <w:r>
              <w:rPr>
                <w:rFonts w:ascii="Arial" w:hAnsi="Arial" w:eastAsia="Arial"/>
                <w:b w:val="0"/>
                <w:i w:val="0"/>
                <w:color w:val="2A3140"/>
                <w:sz w:val="17"/>
              </w:rPr>
              <w:t>1,893</w:t>
            </w:r>
          </w:p>
        </w:tc>
        <w:tc>
          <w:tcPr>
            <w:tcW w:type="dxa" w:w="1183"/>
          </w:tcPr>
          <w:p>
            <w:pPr>
              <w:jc w:val="right"/>
            </w:pPr>
            <w:r>
              <w:rPr>
                <w:rFonts w:ascii="Arial" w:hAnsi="Arial" w:eastAsia="Arial"/>
                <w:b w:val="0"/>
                <w:i w:val="0"/>
                <w:color w:val="2A3140"/>
                <w:sz w:val="17"/>
              </w:rPr>
              <w:t>2,156</w:t>
            </w:r>
          </w:p>
        </w:tc>
        <w:tc>
          <w:tcPr>
            <w:tcW w:type="dxa" w:w="1183"/>
          </w:tcPr>
          <w:p>
            <w:pPr>
              <w:jc w:val="right"/>
            </w:pPr>
            <w:r>
              <w:rPr>
                <w:rFonts w:ascii="Arial" w:hAnsi="Arial" w:eastAsia="Arial"/>
                <w:b w:val="0"/>
                <w:i w:val="0"/>
                <w:color w:val="2A3140"/>
                <w:sz w:val="17"/>
              </w:rPr>
              <w:t>2,232</w:t>
            </w:r>
          </w:p>
        </w:tc>
      </w:tr>
      <w:tr>
        <w:tc>
          <w:tcPr>
            <w:tcW w:type="dxa" w:w="4626"/>
          </w:tcPr>
          <w:p>
            <w:r>
              <w:rPr>
                <w:rFonts w:ascii="Arial" w:hAnsi="Arial" w:eastAsia="Arial"/>
                <w:b w:val="0"/>
                <w:i w:val="0"/>
                <w:color w:val="2A3140"/>
                <w:sz w:val="17"/>
              </w:rPr>
              <w:t>Net income available to common shareholders</w:t>
            </w:r>
          </w:p>
        </w:tc>
        <w:tc>
          <w:tcPr>
            <w:tcW w:type="dxa" w:w="1183"/>
          </w:tcPr>
          <w:p>
            <w:pPr>
              <w:jc w:val="right"/>
            </w:pPr>
            <w:r>
              <w:rPr>
                <w:rFonts w:ascii="Arial" w:hAnsi="Arial" w:eastAsia="Arial"/>
                <w:b w:val="0"/>
                <w:i w:val="0"/>
                <w:color w:val="2A3140"/>
                <w:sz w:val="17"/>
              </w:rPr>
              <w:t>1,976</w:t>
            </w:r>
          </w:p>
        </w:tc>
        <w:tc>
          <w:tcPr>
            <w:tcW w:type="dxa" w:w="1183"/>
          </w:tcPr>
          <w:p>
            <w:pPr>
              <w:jc w:val="right"/>
            </w:pPr>
            <w:r>
              <w:rPr>
                <w:rFonts w:ascii="Arial" w:hAnsi="Arial" w:eastAsia="Arial"/>
                <w:b w:val="0"/>
                <w:i w:val="0"/>
                <w:color w:val="2A3140"/>
                <w:sz w:val="17"/>
              </w:rPr>
              <w:t>1,774</w:t>
            </w:r>
          </w:p>
        </w:tc>
        <w:tc>
          <w:tcPr>
            <w:tcW w:type="dxa" w:w="1183"/>
          </w:tcPr>
          <w:p>
            <w:pPr>
              <w:jc w:val="right"/>
            </w:pPr>
            <w:r>
              <w:rPr>
                <w:rFonts w:ascii="Arial" w:hAnsi="Arial" w:eastAsia="Arial"/>
                <w:b w:val="0"/>
                <w:i w:val="0"/>
                <w:color w:val="2A3140"/>
                <w:sz w:val="17"/>
              </w:rPr>
              <w:t>2,061</w:t>
            </w:r>
          </w:p>
        </w:tc>
        <w:tc>
          <w:tcPr>
            <w:tcW w:type="dxa" w:w="1183"/>
          </w:tcPr>
          <w:p>
            <w:pPr>
              <w:jc w:val="right"/>
            </w:pPr>
            <w:r>
              <w:rPr>
                <w:rFonts w:ascii="Arial" w:hAnsi="Arial" w:eastAsia="Arial"/>
                <w:b w:val="0"/>
                <w:i w:val="0"/>
                <w:color w:val="2A3140"/>
                <w:sz w:val="17"/>
              </w:rPr>
              <w:t>2,150</w:t>
            </w:r>
          </w:p>
        </w:tc>
      </w:tr>
      <w:tr>
        <w:tc>
          <w:tcPr>
            <w:tcW w:type="dxa" w:w="4626"/>
          </w:tcPr>
          <w:p>
            <w:r>
              <w:rPr>
                <w:rFonts w:ascii="Arial" w:hAnsi="Arial" w:eastAsia="Arial"/>
                <w:b w:val="0"/>
                <w:i w:val="0"/>
                <w:color w:val="2A3140"/>
                <w:sz w:val="17"/>
              </w:rPr>
              <w:t>C&amp;I loans, period end</w:t>
            </w:r>
          </w:p>
        </w:tc>
        <w:tc>
          <w:tcPr>
            <w:tcW w:type="dxa" w:w="1183"/>
          </w:tcPr>
          <w:p>
            <w:pPr>
              <w:jc w:val="right"/>
            </w:pPr>
            <w:r>
              <w:rPr>
                <w:rFonts w:ascii="Arial" w:hAnsi="Arial" w:eastAsia="Arial"/>
                <w:b w:val="0"/>
                <w:i w:val="0"/>
                <w:color w:val="2A3140"/>
                <w:sz w:val="17"/>
              </w:rPr>
              <w:t>50,865</w:t>
            </w:r>
          </w:p>
        </w:tc>
        <w:tc>
          <w:tcPr>
            <w:tcW w:type="dxa" w:w="1183"/>
          </w:tcPr>
          <w:p>
            <w:pPr>
              <w:jc w:val="right"/>
            </w:pPr>
            <w:r>
              <w:rPr>
                <w:rFonts w:ascii="Arial" w:hAnsi="Arial" w:eastAsia="Arial"/>
                <w:b w:val="0"/>
                <w:i w:val="0"/>
                <w:color w:val="2A3140"/>
                <w:sz w:val="17"/>
              </w:rPr>
              <w:t>49,671</w:t>
            </w:r>
          </w:p>
        </w:tc>
        <w:tc>
          <w:tcPr>
            <w:tcW w:type="dxa" w:w="1183"/>
          </w:tcPr>
          <w:p>
            <w:pPr>
              <w:jc w:val="right"/>
            </w:pPr>
            <w:r>
              <w:rPr>
                <w:rFonts w:ascii="Arial" w:hAnsi="Arial" w:eastAsia="Arial"/>
                <w:b w:val="0"/>
                <w:i w:val="0"/>
                <w:color w:val="2A3140"/>
                <w:sz w:val="17"/>
              </w:rPr>
              <w:t>48,790</w:t>
            </w:r>
          </w:p>
        </w:tc>
        <w:tc>
          <w:tcPr>
            <w:tcW w:type="dxa" w:w="1183"/>
          </w:tcPr>
          <w:p>
            <w:pPr>
              <w:jc w:val="right"/>
            </w:pPr>
            <w:r>
              <w:rPr>
                <w:rFonts w:ascii="Arial" w:hAnsi="Arial" w:eastAsia="Arial"/>
                <w:b w:val="0"/>
                <w:i w:val="0"/>
                <w:color w:val="2A3140"/>
                <w:sz w:val="17"/>
              </w:rPr>
              <w:t>51,841</w:t>
            </w:r>
          </w:p>
        </w:tc>
      </w:tr>
      <w:tr>
        <w:tc>
          <w:tcPr>
            <w:tcW w:type="dxa" w:w="4626"/>
          </w:tcPr>
          <w:p>
            <w:r>
              <w:rPr>
                <w:rFonts w:ascii="Arial" w:hAnsi="Arial" w:eastAsia="Arial"/>
                <w:b w:val="0"/>
                <w:i w:val="0"/>
                <w:color w:val="2A3140"/>
                <w:sz w:val="17"/>
              </w:rPr>
              <w:t>CET1 ratio, period end</w:t>
            </w:r>
          </w:p>
        </w:tc>
        <w:tc>
          <w:tcPr>
            <w:tcW w:type="dxa" w:w="1183"/>
          </w:tcPr>
          <w:p>
            <w:pPr>
              <w:jc w:val="right"/>
            </w:pPr>
            <w:r>
              <w:rPr>
                <w:rFonts w:ascii="Arial" w:hAnsi="Arial" w:eastAsia="Arial"/>
                <w:b w:val="0"/>
                <w:i w:val="0"/>
                <w:color w:val="2A3140"/>
                <w:sz w:val="17"/>
              </w:rPr>
              <w:t>10.3%</w:t>
            </w:r>
          </w:p>
        </w:tc>
        <w:tc>
          <w:tcPr>
            <w:tcW w:type="dxa" w:w="1183"/>
          </w:tcPr>
          <w:p>
            <w:pPr>
              <w:jc w:val="right"/>
            </w:pPr>
            <w:r>
              <w:rPr>
                <w:rFonts w:ascii="Arial" w:hAnsi="Arial" w:eastAsia="Arial"/>
                <w:b w:val="0"/>
                <w:i w:val="0"/>
                <w:color w:val="2A3140"/>
                <w:sz w:val="17"/>
              </w:rPr>
              <w:t>10.8%</w:t>
            </w:r>
          </w:p>
        </w:tc>
        <w:tc>
          <w:tcPr>
            <w:tcW w:type="dxa" w:w="1183"/>
          </w:tcPr>
          <w:p>
            <w:pPr>
              <w:jc w:val="right"/>
            </w:pPr>
            <w:r>
              <w:rPr>
                <w:rFonts w:ascii="Arial" w:hAnsi="Arial" w:eastAsia="Arial"/>
                <w:b w:val="0"/>
                <w:i w:val="0"/>
                <w:color w:val="2A3140"/>
                <w:sz w:val="17"/>
              </w:rPr>
              <w:t>10.9%</w:t>
            </w:r>
          </w:p>
        </w:tc>
        <w:tc>
          <w:tcPr>
            <w:tcW w:type="dxa" w:w="1183"/>
          </w:tcPr>
          <w:p>
            <w:pPr>
              <w:jc w:val="right"/>
            </w:pPr>
            <w:r>
              <w:rPr>
                <w:rFonts w:ascii="Arial" w:hAnsi="Arial" w:eastAsia="Arial"/>
                <w:b w:val="0"/>
                <w:i w:val="0"/>
                <w:color w:val="2A3140"/>
                <w:sz w:val="17"/>
              </w:rPr>
              <w:t>10.7%</w:t>
            </w:r>
          </w:p>
        </w:tc>
      </w:tr>
    </w:tbl>
    <w:p>
      <w:pPr>
        <w:spacing w:after="40"/>
      </w:pPr>
    </w:p>
    <w:p>
      <w:r>
        <w:rPr>
          <w:rFonts w:ascii="Arial" w:hAnsi="Arial" w:eastAsia="Arial"/>
          <w:b w:val="0"/>
          <w:i/>
          <w:color w:val="5B6475"/>
          <w:sz w:val="16"/>
        </w:rPr>
        <w:t>Source: 10-K FY2025, 10-Qs, earnings supplements [R1–R6]; 10-K FY2024 for the 31 December 2023 C&amp;I balance (Table 8, p.61) and CET1 ratio (Note 12, p.135) [R20]; Exhibit 1. LTM = FY25A + 6M Jun-26 − 6M Jun-25. The LTM column shows period-end balances at 30 June 2026.</w:t>
      </w:r>
    </w:p>
    <w:p>
      <w:r>
        <w:rPr>
          <w:rFonts w:ascii="Arial" w:hAnsi="Arial" w:eastAsia="Arial"/>
          <w:b w:val="0"/>
          <w:i w:val="0"/>
          <w:color w:val="2A3140"/>
          <w:sz w:val="21"/>
        </w:rPr>
        <w:t>Ten quarters from Q1-24 to Q2-26, including net interest margin, ROATCE, net charge-offs, CET1 capital and risk-weighted assets, are in Exhibit 2.</w:t>
      </w:r>
    </w:p>
    <w:p>
      <w:pPr>
        <w:spacing w:before="200"/>
      </w:pPr>
      <w:r>
        <w:rPr>
          <w:rFonts w:ascii="Georgia" w:hAnsi="Georgia" w:eastAsia="Georgia"/>
          <w:b/>
          <w:i w:val="0"/>
          <w:color w:val="1E3A5F"/>
          <w:sz w:val="26"/>
        </w:rPr>
        <w:t>5. Balance sheet and capital</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4320"/>
        <w:gridCol w:w="1320"/>
        <w:gridCol w:w="3720"/>
      </w:tblGrid>
      <w:tr>
        <w:tc>
          <w:tcPr>
            <w:tcW w:type="dxa" w:w="4320"/>
            <w:shd w:val="clear" w:color="auto" w:fill="E4EAF3"/>
          </w:tcPr>
          <w:p>
            <w:r>
              <w:rPr>
                <w:rFonts w:ascii="Arial" w:hAnsi="Arial" w:eastAsia="Arial"/>
                <w:b/>
                <w:i w:val="0"/>
                <w:color w:val="121826"/>
                <w:sz w:val="17"/>
              </w:rPr>
              <w:t>30 June 2026</w:t>
            </w:r>
          </w:p>
        </w:tc>
        <w:tc>
          <w:tcPr>
            <w:tcW w:type="dxa" w:w="1320"/>
            <w:shd w:val="clear" w:color="auto" w:fill="E4EAF3"/>
          </w:tcPr>
          <w:p>
            <w:pPr>
              <w:jc w:val="right"/>
            </w:pPr>
            <w:r>
              <w:rPr>
                <w:rFonts w:ascii="Arial" w:hAnsi="Arial" w:eastAsia="Arial"/>
                <w:b/>
                <w:i w:val="0"/>
                <w:color w:val="121826"/>
                <w:sz w:val="17"/>
              </w:rPr>
              <w:t>Value</w:t>
            </w:r>
          </w:p>
        </w:tc>
        <w:tc>
          <w:tcPr>
            <w:tcW w:type="dxa" w:w="3720"/>
            <w:shd w:val="clear" w:color="auto" w:fill="E4EAF3"/>
          </w:tcPr>
          <w:p>
            <w:pPr>
              <w:jc w:val="right"/>
            </w:pPr>
            <w:r>
              <w:rPr>
                <w:rFonts w:ascii="Arial" w:hAnsi="Arial" w:eastAsia="Arial"/>
                <w:b/>
                <w:i w:val="0"/>
                <w:color w:val="121826"/>
                <w:sz w:val="17"/>
              </w:rPr>
              <w:t>Minimum + stress capital buffer</w:t>
            </w:r>
          </w:p>
        </w:tc>
      </w:tr>
      <w:tr>
        <w:tc>
          <w:tcPr>
            <w:tcW w:type="dxa" w:w="4320"/>
          </w:tcPr>
          <w:p>
            <w:r>
              <w:rPr>
                <w:rFonts w:ascii="Arial" w:hAnsi="Arial" w:eastAsia="Arial"/>
                <w:b w:val="0"/>
                <w:i w:val="0"/>
                <w:color w:val="2A3140"/>
                <w:sz w:val="17"/>
              </w:rPr>
              <w:t>CET1 ratio (estimated)</w:t>
            </w:r>
          </w:p>
        </w:tc>
        <w:tc>
          <w:tcPr>
            <w:tcW w:type="dxa" w:w="1320"/>
          </w:tcPr>
          <w:p>
            <w:pPr>
              <w:jc w:val="right"/>
            </w:pPr>
            <w:r>
              <w:rPr>
                <w:rFonts w:ascii="Arial" w:hAnsi="Arial" w:eastAsia="Arial"/>
                <w:b w:val="0"/>
                <w:i w:val="0"/>
                <w:color w:val="2A3140"/>
                <w:sz w:val="17"/>
              </w:rPr>
              <w:t>10.72%</w:t>
            </w:r>
          </w:p>
        </w:tc>
        <w:tc>
          <w:tcPr>
            <w:tcW w:type="dxa" w:w="3720"/>
          </w:tcPr>
          <w:p>
            <w:pPr>
              <w:jc w:val="right"/>
            </w:pPr>
            <w:r>
              <w:rPr>
                <w:rFonts w:ascii="Arial" w:hAnsi="Arial" w:eastAsia="Arial"/>
                <w:b w:val="0"/>
                <w:i w:val="0"/>
                <w:color w:val="2A3140"/>
                <w:sz w:val="17"/>
              </w:rPr>
              <w:t>7.00%</w:t>
            </w:r>
          </w:p>
        </w:tc>
      </w:tr>
      <w:tr>
        <w:tc>
          <w:tcPr>
            <w:tcW w:type="dxa" w:w="4320"/>
          </w:tcPr>
          <w:p>
            <w:r>
              <w:rPr>
                <w:rFonts w:ascii="Arial" w:hAnsi="Arial" w:eastAsia="Arial"/>
                <w:b w:val="0"/>
                <w:i w:val="0"/>
                <w:color w:val="2A3140"/>
                <w:sz w:val="17"/>
              </w:rPr>
              <w:t>Tier 1 ratio</w:t>
            </w:r>
          </w:p>
        </w:tc>
        <w:tc>
          <w:tcPr>
            <w:tcW w:type="dxa" w:w="1320"/>
          </w:tcPr>
          <w:p>
            <w:pPr>
              <w:jc w:val="right"/>
            </w:pPr>
            <w:r>
              <w:rPr>
                <w:rFonts w:ascii="Arial" w:hAnsi="Arial" w:eastAsia="Arial"/>
                <w:b w:val="0"/>
                <w:i w:val="0"/>
                <w:color w:val="2A3140"/>
                <w:sz w:val="17"/>
              </w:rPr>
              <w:t>11.79%</w:t>
            </w:r>
          </w:p>
        </w:tc>
        <w:tc>
          <w:tcPr>
            <w:tcW w:type="dxa" w:w="3720"/>
          </w:tcPr>
          <w:p>
            <w:pPr>
              <w:jc w:val="right"/>
            </w:pPr>
            <w:r>
              <w:rPr>
                <w:rFonts w:ascii="Arial" w:hAnsi="Arial" w:eastAsia="Arial"/>
                <w:b w:val="0"/>
                <w:i w:val="0"/>
                <w:color w:val="2A3140"/>
                <w:sz w:val="17"/>
              </w:rPr>
              <w:t>8.50%</w:t>
            </w:r>
          </w:p>
        </w:tc>
      </w:tr>
      <w:tr>
        <w:tc>
          <w:tcPr>
            <w:tcW w:type="dxa" w:w="4320"/>
          </w:tcPr>
          <w:p>
            <w:r>
              <w:rPr>
                <w:rFonts w:ascii="Arial" w:hAnsi="Arial" w:eastAsia="Arial"/>
                <w:b w:val="0"/>
                <w:i w:val="0"/>
                <w:color w:val="2A3140"/>
                <w:sz w:val="17"/>
              </w:rPr>
              <w:t>Total capital ratio</w:t>
            </w:r>
          </w:p>
        </w:tc>
        <w:tc>
          <w:tcPr>
            <w:tcW w:type="dxa" w:w="1320"/>
          </w:tcPr>
          <w:p>
            <w:pPr>
              <w:jc w:val="right"/>
            </w:pPr>
            <w:r>
              <w:rPr>
                <w:rFonts w:ascii="Arial" w:hAnsi="Arial" w:eastAsia="Arial"/>
                <w:b w:val="0"/>
                <w:i w:val="0"/>
                <w:color w:val="2A3140"/>
                <w:sz w:val="17"/>
              </w:rPr>
              <w:t>13.66%</w:t>
            </w:r>
          </w:p>
        </w:tc>
        <w:tc>
          <w:tcPr>
            <w:tcW w:type="dxa" w:w="3720"/>
          </w:tcPr>
          <w:p>
            <w:pPr>
              <w:jc w:val="right"/>
            </w:pPr>
            <w:r>
              <w:rPr>
                <w:rFonts w:ascii="Arial" w:hAnsi="Arial" w:eastAsia="Arial"/>
                <w:b w:val="0"/>
                <w:i w:val="0"/>
                <w:color w:val="2A3140"/>
                <w:sz w:val="17"/>
              </w:rPr>
              <w:t>10.50%</w:t>
            </w:r>
          </w:p>
        </w:tc>
      </w:tr>
      <w:tr>
        <w:tc>
          <w:tcPr>
            <w:tcW w:type="dxa" w:w="4320"/>
          </w:tcPr>
          <w:p>
            <w:r>
              <w:rPr>
                <w:rFonts w:ascii="Arial" w:hAnsi="Arial" w:eastAsia="Arial"/>
                <w:b w:val="0"/>
                <w:i w:val="0"/>
                <w:color w:val="2A3140"/>
                <w:sz w:val="17"/>
              </w:rPr>
              <w:t>Leverage ratio</w:t>
            </w:r>
          </w:p>
        </w:tc>
        <w:tc>
          <w:tcPr>
            <w:tcW w:type="dxa" w:w="1320"/>
          </w:tcPr>
          <w:p>
            <w:pPr>
              <w:jc w:val="right"/>
            </w:pPr>
            <w:r>
              <w:rPr>
                <w:rFonts w:ascii="Arial" w:hAnsi="Arial" w:eastAsia="Arial"/>
                <w:b w:val="0"/>
                <w:i w:val="0"/>
                <w:color w:val="2A3140"/>
                <w:sz w:val="17"/>
              </w:rPr>
              <w:t>9.65%</w:t>
            </w:r>
          </w:p>
        </w:tc>
        <w:tc>
          <w:tcPr>
            <w:tcW w:type="dxa" w:w="3720"/>
          </w:tcPr>
          <w:p>
            <w:pPr>
              <w:jc w:val="right"/>
            </w:pPr>
            <w:r>
              <w:rPr>
                <w:rFonts w:ascii="Arial" w:hAnsi="Arial" w:eastAsia="Arial"/>
                <w:b w:val="0"/>
                <w:i w:val="0"/>
                <w:color w:val="2A3140"/>
                <w:sz w:val="17"/>
              </w:rPr>
              <w:t>4.00%</w:t>
            </w:r>
          </w:p>
        </w:tc>
      </w:tr>
      <w:tr>
        <w:tc>
          <w:tcPr>
            <w:tcW w:type="dxa" w:w="4320"/>
          </w:tcPr>
          <w:p>
            <w:r>
              <w:rPr>
                <w:rFonts w:ascii="Arial" w:hAnsi="Arial" w:eastAsia="Arial"/>
                <w:b w:val="0"/>
                <w:i w:val="0"/>
                <w:color w:val="2A3140"/>
                <w:sz w:val="17"/>
              </w:rPr>
              <w:t>CET1 capital ($M)</w:t>
            </w:r>
          </w:p>
        </w:tc>
        <w:tc>
          <w:tcPr>
            <w:tcW w:type="dxa" w:w="1320"/>
          </w:tcPr>
          <w:p>
            <w:pPr>
              <w:jc w:val="right"/>
            </w:pPr>
            <w:r>
              <w:rPr>
                <w:rFonts w:ascii="Arial" w:hAnsi="Arial" w:eastAsia="Arial"/>
                <w:b w:val="0"/>
                <w:i w:val="0"/>
                <w:color w:val="2A3140"/>
                <w:sz w:val="17"/>
              </w:rPr>
              <w:t>13,692</w:t>
            </w:r>
          </w:p>
        </w:tc>
        <w:tc>
          <w:tcPr>
            <w:tcW w:type="dxa" w:w="3720"/>
          </w:tcPr>
          <w:p/>
        </w:tc>
      </w:tr>
      <w:tr>
        <w:tc>
          <w:tcPr>
            <w:tcW w:type="dxa" w:w="4320"/>
          </w:tcPr>
          <w:p>
            <w:r>
              <w:rPr>
                <w:rFonts w:ascii="Arial" w:hAnsi="Arial" w:eastAsia="Arial"/>
                <w:b w:val="0"/>
                <w:i w:val="0"/>
                <w:color w:val="2A3140"/>
                <w:sz w:val="17"/>
              </w:rPr>
              <w:t>Risk-weighted assets ($M)</w:t>
            </w:r>
          </w:p>
        </w:tc>
        <w:tc>
          <w:tcPr>
            <w:tcW w:type="dxa" w:w="1320"/>
          </w:tcPr>
          <w:p>
            <w:pPr>
              <w:jc w:val="right"/>
            </w:pPr>
            <w:r>
              <w:rPr>
                <w:rFonts w:ascii="Arial" w:hAnsi="Arial" w:eastAsia="Arial"/>
                <w:b w:val="0"/>
                <w:i w:val="0"/>
                <w:color w:val="2A3140"/>
                <w:sz w:val="17"/>
              </w:rPr>
              <w:t>127,786</w:t>
            </w:r>
          </w:p>
        </w:tc>
        <w:tc>
          <w:tcPr>
            <w:tcW w:type="dxa" w:w="3720"/>
          </w:tcPr>
          <w:p/>
        </w:tc>
      </w:tr>
      <w:tr>
        <w:tc>
          <w:tcPr>
            <w:tcW w:type="dxa" w:w="4320"/>
          </w:tcPr>
          <w:p>
            <w:r>
              <w:rPr>
                <w:rFonts w:ascii="Arial" w:hAnsi="Arial" w:eastAsia="Arial"/>
                <w:b w:val="0"/>
                <w:i w:val="0"/>
                <w:color w:val="2A3140"/>
                <w:sz w:val="17"/>
              </w:rPr>
              <w:t>CET1 ratio including AOCI (non-GAAP)</w:t>
            </w:r>
          </w:p>
        </w:tc>
        <w:tc>
          <w:tcPr>
            <w:tcW w:type="dxa" w:w="1320"/>
          </w:tcPr>
          <w:p>
            <w:pPr>
              <w:jc w:val="right"/>
            </w:pPr>
            <w:r>
              <w:rPr>
                <w:rFonts w:ascii="Arial" w:hAnsi="Arial" w:eastAsia="Arial"/>
                <w:b w:val="0"/>
                <w:i w:val="0"/>
                <w:color w:val="2A3140"/>
                <w:sz w:val="17"/>
              </w:rPr>
              <w:t>9.5%</w:t>
            </w:r>
          </w:p>
        </w:tc>
        <w:tc>
          <w:tcPr>
            <w:tcW w:type="dxa" w:w="3720"/>
          </w:tcPr>
          <w:p/>
        </w:tc>
      </w:tr>
      <w:tr>
        <w:tc>
          <w:tcPr>
            <w:tcW w:type="dxa" w:w="4320"/>
          </w:tcPr>
          <w:p>
            <w:r>
              <w:rPr>
                <w:rFonts w:ascii="Arial" w:hAnsi="Arial" w:eastAsia="Arial"/>
                <w:b w:val="0"/>
                <w:i w:val="0"/>
                <w:color w:val="2A3140"/>
                <w:sz w:val="17"/>
              </w:rPr>
              <w:t>Loans ÷ deposits</w:t>
            </w:r>
          </w:p>
        </w:tc>
        <w:tc>
          <w:tcPr>
            <w:tcW w:type="dxa" w:w="1320"/>
          </w:tcPr>
          <w:p>
            <w:pPr>
              <w:jc w:val="right"/>
            </w:pPr>
            <w:r>
              <w:rPr>
                <w:rFonts w:ascii="Arial" w:hAnsi="Arial" w:eastAsia="Arial"/>
                <w:b w:val="0"/>
                <w:i w:val="0"/>
                <w:color w:val="2A3140"/>
                <w:sz w:val="17"/>
              </w:rPr>
              <w:t>75.9%</w:t>
            </w:r>
          </w:p>
        </w:tc>
        <w:tc>
          <w:tcPr>
            <w:tcW w:type="dxa" w:w="3720"/>
          </w:tcPr>
          <w:p/>
        </w:tc>
      </w:tr>
    </w:tbl>
    <w:p>
      <w:pPr>
        <w:spacing w:after="40"/>
      </w:pPr>
    </w:p>
    <w:p>
      <w:r>
        <w:rPr>
          <w:rFonts w:ascii="Arial" w:hAnsi="Arial" w:eastAsia="Arial"/>
          <w:b w:val="0"/>
          <w:i/>
          <w:color w:val="5B6475"/>
          <w:sz w:val="16"/>
        </w:rPr>
        <w:t>Source: 10-Q Q2-2026 Table 16; 2Q26 earnings release [R3,R6]; Exhibits 1, 2 and 5. US regulators issued a revised capital proposal on 19 March 2026; its effect on Regions is not quantified.</w:t>
      </w:r>
    </w:p>
    <w:p>
      <w:pPr>
        <w:spacing w:before="200"/>
      </w:pPr>
      <w:r>
        <w:rPr>
          <w:rFonts w:ascii="Georgia" w:hAnsi="Georgia" w:eastAsia="Georgia"/>
          <w:b/>
          <w:i w:val="0"/>
          <w:color w:val="1E3A5F"/>
          <w:sz w:val="26"/>
        </w:rPr>
        <w:t>6. Client data</w:t>
      </w:r>
    </w:p>
    <w:p>
      <w:pPr>
        <w:pStyle w:val="ListBullet"/>
      </w:pPr>
      <w:r>
        <w:rPr>
          <w:rFonts w:ascii="Arial" w:hAnsi="Arial" w:eastAsia="Arial"/>
          <w:b/>
          <w:i w:val="0"/>
          <w:color w:val="2A3140"/>
          <w:sz w:val="21"/>
        </w:rPr>
        <w:t>Loan book (Exhibit 3).</w:t>
      </w:r>
      <w:r>
        <w:rPr>
          <w:rFonts w:ascii="Arial" w:hAnsi="Arial" w:eastAsia="Arial"/>
          <w:b w:val="0"/>
          <w:i w:val="0"/>
          <w:color w:val="2A3140"/>
          <w:sz w:val="21"/>
        </w:rPr>
        <w:t xml:space="preserve"> Ten loan classes at 30 June 2026 and 31 December 2025; business loans (commercial plus investor real estate) were $67,204M. C&amp;I by internal risk rating: pass $50,085M, special mention $543M, substandard accrual $801M and non-accrual $412M. Financial services was the largest industry line in Regions' commercial book at 31 December 2025, with $8,499M of loans and $9,811M of unfunded commitments, 17.3% of total commercial exposure (10-K for 2025, Table 11, p.61) [R1]. Exhibit 3 also quotes the 10-K explanations of the C&amp;I decline.</w:t>
      </w:r>
    </w:p>
    <w:p>
      <w:pPr>
        <w:pStyle w:val="ListBullet"/>
      </w:pPr>
      <w:r>
        <w:rPr>
          <w:rFonts w:ascii="Arial" w:hAnsi="Arial" w:eastAsia="Arial"/>
          <w:b/>
          <w:i w:val="0"/>
          <w:color w:val="2A3140"/>
          <w:sz w:val="21"/>
        </w:rPr>
        <w:t>Corporate Bank (Exhibit 4).</w:t>
      </w:r>
      <w:r>
        <w:rPr>
          <w:rFonts w:ascii="Arial" w:hAnsi="Arial" w:eastAsia="Arial"/>
          <w:b w:val="0"/>
          <w:i w:val="0"/>
          <w:color w:val="2A3140"/>
          <w:sz w:val="21"/>
        </w:rPr>
        <w:t xml:space="preserve"> Segment income statement for the second quarters of 2025 and 2026, average assets and deposits.</w:t>
      </w:r>
    </w:p>
    <w:p>
      <w:pPr>
        <w:pStyle w:val="ListBullet"/>
      </w:pPr>
      <w:r>
        <w:rPr>
          <w:rFonts w:ascii="Arial" w:hAnsi="Arial" w:eastAsia="Arial"/>
          <w:b/>
          <w:i w:val="0"/>
          <w:color w:val="2A3140"/>
          <w:sz w:val="21"/>
        </w:rPr>
        <w:t>Precedents (Exhibit 6).</w:t>
      </w:r>
      <w:r>
        <w:rPr>
          <w:rFonts w:ascii="Arial" w:hAnsi="Arial" w:eastAsia="Arial"/>
          <w:b w:val="0"/>
          <w:i w:val="0"/>
          <w:color w:val="2A3140"/>
          <w:sz w:val="21"/>
        </w:rPr>
        <w:t xml:space="preserve"> Structure, size, the bank's role and the source of each of the five partnerships, with Deloitte's taxonomy.</w:t>
      </w:r>
    </w:p>
    <w:p>
      <w:pPr>
        <w:pStyle w:val="ListBullet"/>
      </w:pPr>
      <w:r>
        <w:rPr>
          <w:rFonts w:ascii="Arial" w:hAnsi="Arial" w:eastAsia="Arial"/>
          <w:b/>
          <w:i w:val="0"/>
          <w:color w:val="2A3140"/>
          <w:sz w:val="21"/>
        </w:rPr>
        <w:t>Market (Exhibit 7).</w:t>
      </w:r>
      <w:r>
        <w:rPr>
          <w:rFonts w:ascii="Arial" w:hAnsi="Arial" w:eastAsia="Arial"/>
          <w:b w:val="0"/>
          <w:i w:val="0"/>
          <w:color w:val="2A3140"/>
          <w:sz w:val="21"/>
        </w:rPr>
        <w:t xml:space="preserve"> The CME Term SOFR curve (1M to 12M) on 9 October 2026, fed funds, direct lending against BSL spreads, borrower leverage and interest-cover benchmarks for 2025 issuance, and the rate stress used in this case: a +100bp parallel shift to the forward curve, applied to 1M Term SOFR.</w:t>
      </w:r>
    </w:p>
    <w:p>
      <w:pPr>
        <w:pStyle w:val="ListBullet"/>
      </w:pPr>
      <w:r>
        <w:rPr>
          <w:rFonts w:ascii="Arial" w:hAnsi="Arial" w:eastAsia="Arial"/>
          <w:b/>
          <w:i w:val="0"/>
          <w:color w:val="2A3140"/>
          <w:sz w:val="21"/>
        </w:rPr>
        <w:t>Client-provided data (Exhibit 8, HYPOTHETICAL).</w:t>
      </w:r>
      <w:r>
        <w:rPr>
          <w:rFonts w:ascii="Arial" w:hAnsi="Arial" w:eastAsia="Arial"/>
          <w:b w:val="0"/>
          <w:i w:val="0"/>
          <w:color w:val="2A3140"/>
          <w:sz w:val="21"/>
        </w:rPr>
        <w:t xml:space="preserve"> Corporate Banking's pipeline review: $2,400M of middle-market financing requests across 38 relationships were declined or lost to non-bank lenders in the twelve months to June 2026 (H1); 70% of that amount was declined because the requested leverage exceeded credit policy (H2); and the affected relationships earn about $0.35M each a year of non-credit revenue (H3).</w:t>
      </w:r>
    </w:p>
    <w:p>
      <w:pPr>
        <w:spacing w:before="200"/>
      </w:pPr>
      <w:r>
        <w:rPr>
          <w:rFonts w:ascii="Georgia" w:hAnsi="Georgia" w:eastAsia="Georgia"/>
          <w:b/>
          <w:i w:val="0"/>
          <w:color w:val="1E3A5F"/>
          <w:sz w:val="26"/>
        </w:rPr>
        <w:t>7. Engagement scope: engagement letter</w:t>
      </w:r>
    </w:p>
    <w:p>
      <w:r>
        <w:rPr>
          <w:rFonts w:ascii="Arial" w:hAnsi="Arial" w:eastAsia="Arial"/>
          <w:b/>
          <w:i w:val="0"/>
          <w:color w:val="2A3140"/>
          <w:sz w:val="21"/>
        </w:rPr>
        <w:t>Halden Street Partners (HYPOTHETICAL)</w:t>
      </w:r>
      <w:r>
        <w:rPr>
          <w:rFonts w:ascii="Arial" w:hAnsi="Arial" w:eastAsia="Arial"/>
          <w:b w:val="0"/>
          <w:i w:val="0"/>
          <w:color w:val="2A3140"/>
          <w:sz w:val="21"/>
        </w:rPr>
        <w:t xml:space="preserve"> · To: Chief Financial Officer and Head of Corporate Banking, Regions Financial Corporation · Date: 12 October 2026 · Re: Private credit strategy</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050"/>
        <w:gridCol w:w="6310"/>
      </w:tblGrid>
      <w:tr>
        <w:tc>
          <w:tcPr>
            <w:tcW w:type="dxa" w:w="3050"/>
            <w:shd w:val="clear" w:color="auto" w:fill="E4EAF3"/>
          </w:tcPr>
          <w:p>
            <w:r>
              <w:rPr>
                <w:rFonts w:ascii="Arial" w:hAnsi="Arial" w:eastAsia="Arial"/>
                <w:b/>
                <w:i w:val="0"/>
                <w:color w:val="121826"/>
                <w:sz w:val="17"/>
              </w:rPr>
              <w:t>Term</w:t>
            </w:r>
          </w:p>
        </w:tc>
        <w:tc>
          <w:tcPr>
            <w:tcW w:type="dxa" w:w="6310"/>
            <w:shd w:val="clear" w:color="auto" w:fill="E4EAF3"/>
          </w:tcPr>
          <w:p>
            <w:r>
              <w:rPr>
                <w:rFonts w:ascii="Arial" w:hAnsi="Arial" w:eastAsia="Arial"/>
                <w:b/>
                <w:i w:val="0"/>
                <w:color w:val="121826"/>
                <w:sz w:val="17"/>
              </w:rPr>
              <w:t>Engagement letter</w:t>
            </w:r>
          </w:p>
        </w:tc>
      </w:tr>
      <w:tr>
        <w:tc>
          <w:tcPr>
            <w:tcW w:type="dxa" w:w="3050"/>
          </w:tcPr>
          <w:p>
            <w:r>
              <w:rPr>
                <w:rFonts w:ascii="Arial" w:hAnsi="Arial" w:eastAsia="Arial"/>
                <w:b w:val="0"/>
                <w:i w:val="0"/>
                <w:color w:val="2A3140"/>
                <w:sz w:val="17"/>
              </w:rPr>
              <w:t>Objective</w:t>
            </w:r>
          </w:p>
        </w:tc>
        <w:tc>
          <w:tcPr>
            <w:tcW w:type="dxa" w:w="6310"/>
          </w:tcPr>
          <w:p>
            <w:r>
              <w:rPr>
                <w:rFonts w:ascii="Arial" w:hAnsi="Arial" w:eastAsia="Arial"/>
                <w:b w:val="0"/>
                <w:i w:val="0"/>
                <w:color w:val="2A3140"/>
                <w:sz w:val="17"/>
              </w:rPr>
              <w:t>Recommend whether Regions should respond to private credit in its middle market and, if so, which model to pursue and how to implement it</w:t>
            </w:r>
          </w:p>
        </w:tc>
      </w:tr>
      <w:tr>
        <w:tc>
          <w:tcPr>
            <w:tcW w:type="dxa" w:w="3050"/>
          </w:tcPr>
          <w:p>
            <w:r>
              <w:rPr>
                <w:rFonts w:ascii="Arial" w:hAnsi="Arial" w:eastAsia="Arial"/>
                <w:b w:val="0"/>
                <w:i w:val="0"/>
                <w:color w:val="2A3140"/>
                <w:sz w:val="17"/>
              </w:rPr>
              <w:t>Scope</w:t>
            </w:r>
          </w:p>
        </w:tc>
        <w:tc>
          <w:tcPr>
            <w:tcW w:type="dxa" w:w="6310"/>
          </w:tcPr>
          <w:p>
            <w:r>
              <w:rPr>
                <w:rFonts w:ascii="Arial" w:hAnsi="Arial" w:eastAsia="Arial"/>
                <w:b w:val="0"/>
                <w:i w:val="0"/>
                <w:color w:val="2A3140"/>
                <w:sz w:val="17"/>
              </w:rPr>
              <w:t>Options A–D in section 1; market sizing using Regions' own data; fee, net interest income, capital and return economics for each option; risks and scenarios; partnership design and partner selection criteria; a 90-day implementation plan</w:t>
            </w:r>
          </w:p>
        </w:tc>
      </w:tr>
      <w:tr>
        <w:tc>
          <w:tcPr>
            <w:tcW w:type="dxa" w:w="3050"/>
          </w:tcPr>
          <w:p>
            <w:r>
              <w:rPr>
                <w:rFonts w:ascii="Arial" w:hAnsi="Arial" w:eastAsia="Arial"/>
                <w:b w:val="0"/>
                <w:i w:val="0"/>
                <w:color w:val="2A3140"/>
                <w:sz w:val="17"/>
              </w:rPr>
              <w:t>Out of scope</w:t>
            </w:r>
          </w:p>
        </w:tc>
        <w:tc>
          <w:tcPr>
            <w:tcW w:type="dxa" w:w="6310"/>
          </w:tcPr>
          <w:p>
            <w:r>
              <w:rPr>
                <w:rFonts w:ascii="Arial" w:hAnsi="Arial" w:eastAsia="Arial"/>
                <w:b w:val="0"/>
                <w:i w:val="0"/>
                <w:color w:val="2A3140"/>
                <w:sz w:val="17"/>
              </w:rPr>
              <w:t>Naming or approaching a specific partner; legal and regulatory opinions; changes to credit policy</w:t>
            </w:r>
          </w:p>
        </w:tc>
      </w:tr>
      <w:tr>
        <w:tc>
          <w:tcPr>
            <w:tcW w:type="dxa" w:w="3050"/>
          </w:tcPr>
          <w:p>
            <w:r>
              <w:rPr>
                <w:rFonts w:ascii="Arial" w:hAnsi="Arial" w:eastAsia="Arial"/>
                <w:b w:val="0"/>
                <w:i w:val="0"/>
                <w:color w:val="2A3140"/>
                <w:sz w:val="17"/>
              </w:rPr>
              <w:t>Information provided</w:t>
            </w:r>
          </w:p>
        </w:tc>
        <w:tc>
          <w:tcPr>
            <w:tcW w:type="dxa" w:w="6310"/>
          </w:tcPr>
          <w:p>
            <w:r>
              <w:rPr>
                <w:rFonts w:ascii="Arial" w:hAnsi="Arial" w:eastAsia="Arial"/>
                <w:b w:val="0"/>
                <w:i w:val="0"/>
                <w:color w:val="2A3140"/>
                <w:sz w:val="17"/>
              </w:rPr>
              <w:t>Public filings and releases (Exhibits 1–7); Corporate Banking pipeline review (Exhibit 8, HYPOTHETICAL); stakeholder interviews (section 8)</w:t>
            </w:r>
          </w:p>
        </w:tc>
      </w:tr>
      <w:tr>
        <w:tc>
          <w:tcPr>
            <w:tcW w:type="dxa" w:w="3050"/>
          </w:tcPr>
          <w:p>
            <w:r>
              <w:rPr>
                <w:rFonts w:ascii="Arial" w:hAnsi="Arial" w:eastAsia="Arial"/>
                <w:b w:val="0"/>
                <w:i w:val="0"/>
                <w:color w:val="2A3140"/>
                <w:sz w:val="17"/>
              </w:rPr>
              <w:t>Deliverables</w:t>
            </w:r>
          </w:p>
        </w:tc>
        <w:tc>
          <w:tcPr>
            <w:tcW w:type="dxa" w:w="6310"/>
          </w:tcPr>
          <w:p>
            <w:r>
              <w:rPr>
                <w:rFonts w:ascii="Arial" w:hAnsi="Arial" w:eastAsia="Arial"/>
                <w:b w:val="0"/>
                <w:i w:val="0"/>
                <w:color w:val="2A3140"/>
                <w:sz w:val="17"/>
              </w:rPr>
              <w:t>Executive summary of one to two pages (graded) and a 10–12 slide recommendation deck as a supporting file; optional backup model. Deliverable format pending approval</w:t>
            </w:r>
          </w:p>
        </w:tc>
      </w:tr>
      <w:tr>
        <w:tc>
          <w:tcPr>
            <w:tcW w:type="dxa" w:w="3050"/>
          </w:tcPr>
          <w:p>
            <w:r>
              <w:rPr>
                <w:rFonts w:ascii="Arial" w:hAnsi="Arial" w:eastAsia="Arial"/>
                <w:b w:val="0"/>
                <w:i w:val="0"/>
                <w:color w:val="2A3140"/>
                <w:sz w:val="17"/>
              </w:rPr>
              <w:t>Timing</w:t>
            </w:r>
          </w:p>
        </w:tc>
        <w:tc>
          <w:tcPr>
            <w:tcW w:type="dxa" w:w="6310"/>
          </w:tcPr>
          <w:p>
            <w:r>
              <w:rPr>
                <w:rFonts w:ascii="Arial" w:hAnsi="Arial" w:eastAsia="Arial"/>
                <w:b w:val="0"/>
                <w:i w:val="0"/>
                <w:color w:val="2A3140"/>
                <w:sz w:val="17"/>
              </w:rPr>
              <w:t>Steering committee on Thursday 15 October 2026</w:t>
            </w:r>
          </w:p>
        </w:tc>
      </w:tr>
      <w:tr>
        <w:tc>
          <w:tcPr>
            <w:tcW w:type="dxa" w:w="3050"/>
          </w:tcPr>
          <w:p>
            <w:r>
              <w:rPr>
                <w:rFonts w:ascii="Arial" w:hAnsi="Arial" w:eastAsia="Arial"/>
                <w:b w:val="0"/>
                <w:i w:val="0"/>
                <w:color w:val="2A3140"/>
                <w:sz w:val="17"/>
              </w:rPr>
              <w:t>Governance</w:t>
            </w:r>
          </w:p>
        </w:tc>
        <w:tc>
          <w:tcPr>
            <w:tcW w:type="dxa" w:w="6310"/>
          </w:tcPr>
          <w:p>
            <w:r>
              <w:rPr>
                <w:rFonts w:ascii="Arial" w:hAnsi="Arial" w:eastAsia="Arial"/>
                <w:b w:val="0"/>
                <w:i w:val="0"/>
                <w:color w:val="2A3140"/>
                <w:sz w:val="17"/>
              </w:rPr>
              <w:t>Steering committee: Chief Financial Officer (chair), Head of Corporate Banking, Chief Risk Officer, Head of Capital Markets</w:t>
            </w:r>
          </w:p>
        </w:tc>
      </w:tr>
      <w:tr>
        <w:tc>
          <w:tcPr>
            <w:tcW w:type="dxa" w:w="3050"/>
          </w:tcPr>
          <w:p>
            <w:r>
              <w:rPr>
                <w:rFonts w:ascii="Arial" w:hAnsi="Arial" w:eastAsia="Arial"/>
                <w:b w:val="0"/>
                <w:i w:val="0"/>
                <w:color w:val="2A3140"/>
                <w:sz w:val="17"/>
              </w:rPr>
              <w:t>Confidentiality and conflicts</w:t>
            </w:r>
          </w:p>
        </w:tc>
        <w:tc>
          <w:tcPr>
            <w:tcW w:type="dxa" w:w="6310"/>
          </w:tcPr>
          <w:p>
            <w:r>
              <w:rPr>
                <w:rFonts w:ascii="Arial" w:hAnsi="Arial" w:eastAsia="Arial"/>
                <w:b w:val="0"/>
                <w:i w:val="0"/>
                <w:color w:val="2A3140"/>
                <w:sz w:val="17"/>
              </w:rPr>
              <w:t>Halden Street has no mandate from any private credit manager on this topic</w:t>
            </w:r>
          </w:p>
        </w:tc>
      </w:tr>
    </w:tbl>
    <w:p>
      <w:pPr>
        <w:spacing w:after="40"/>
      </w:pPr>
    </w:p>
    <w:p>
      <w:pPr>
        <w:spacing w:before="200"/>
      </w:pPr>
      <w:r>
        <w:rPr>
          <w:rFonts w:ascii="Georgia" w:hAnsi="Georgia" w:eastAsia="Georgia"/>
          <w:b/>
          <w:i w:val="0"/>
          <w:color w:val="1E3A5F"/>
          <w:sz w:val="26"/>
        </w:rPr>
        <w:t>8. Stakeholder interviews (HYPOTHETICAL)</w:t>
      </w:r>
    </w:p>
    <w:p>
      <w:r>
        <w:rPr>
          <w:rFonts w:ascii="Arial" w:hAnsi="Arial" w:eastAsia="Arial"/>
          <w:b w:val="0"/>
          <w:i w:val="0"/>
          <w:color w:val="2A3140"/>
          <w:sz w:val="21"/>
        </w:rPr>
        <w:t>The notes below are fictional and written for this case; they are not statements by Regions or its executives.</w:t>
      </w:r>
    </w:p>
    <w:p>
      <w:pPr>
        <w:pStyle w:val="ListBullet"/>
      </w:pPr>
      <w:r>
        <w:rPr>
          <w:rFonts w:ascii="Arial" w:hAnsi="Arial" w:eastAsia="Arial"/>
          <w:b/>
          <w:i w:val="0"/>
          <w:color w:val="2A3140"/>
          <w:sz w:val="21"/>
        </w:rPr>
        <w:t>Head of Corporate Banking.</w:t>
      </w:r>
      <w:r>
        <w:rPr>
          <w:rFonts w:ascii="Arial" w:hAnsi="Arial" w:eastAsia="Arial"/>
          <w:b w:val="0"/>
          <w:i w:val="0"/>
          <w:color w:val="2A3140"/>
          <w:sz w:val="21"/>
        </w:rPr>
        <w:t xml:space="preserve"> "We keep losing the growth deals. Sponsors and family owners come back to us for treasury and the revolver, but the term debt goes to a direct lender. I want a product to offer, not a referral slip."</w:t>
      </w:r>
    </w:p>
    <w:p>
      <w:pPr>
        <w:pStyle w:val="ListBullet"/>
      </w:pPr>
      <w:r>
        <w:rPr>
          <w:rFonts w:ascii="Arial" w:hAnsi="Arial" w:eastAsia="Arial"/>
          <w:b/>
          <w:i w:val="0"/>
          <w:color w:val="2A3140"/>
          <w:sz w:val="21"/>
        </w:rPr>
        <w:t>Chief Risk Officer.</w:t>
      </w:r>
      <w:r>
        <w:rPr>
          <w:rFonts w:ascii="Arial" w:hAnsi="Arial" w:eastAsia="Arial"/>
          <w:b w:val="0"/>
          <w:i w:val="0"/>
          <w:color w:val="2A3140"/>
          <w:sz w:val="21"/>
        </w:rPr>
        <w:t xml:space="preserve"> "I will not take more leverage onto the balance sheet. If we partner, who owns the borrower when it gets into trouble, and what happens to our revolver in that capital structure? I also want to know how examiners would see a fund we sponsor."</w:t>
      </w:r>
    </w:p>
    <w:p>
      <w:pPr>
        <w:pStyle w:val="ListBullet"/>
      </w:pPr>
      <w:r>
        <w:rPr>
          <w:rFonts w:ascii="Arial" w:hAnsi="Arial" w:eastAsia="Arial"/>
          <w:b/>
          <w:i w:val="0"/>
          <w:color w:val="2A3140"/>
          <w:sz w:val="21"/>
        </w:rPr>
        <w:t>Head of Capital Markets.</w:t>
      </w:r>
      <w:r>
        <w:rPr>
          <w:rFonts w:ascii="Arial" w:hAnsi="Arial" w:eastAsia="Arial"/>
          <w:b w:val="0"/>
          <w:i w:val="0"/>
          <w:color w:val="2A3140"/>
          <w:sz w:val="21"/>
        </w:rPr>
        <w:t xml:space="preserve"> "We already earn arranging and syndication fees. A partner could add fees without loans, but some of today's lending fees could move to the partner too."</w:t>
      </w:r>
    </w:p>
    <w:p>
      <w:pPr>
        <w:pStyle w:val="ListBullet"/>
      </w:pPr>
      <w:r>
        <w:rPr>
          <w:rFonts w:ascii="Arial" w:hAnsi="Arial" w:eastAsia="Arial"/>
          <w:b/>
          <w:i w:val="0"/>
          <w:color w:val="2A3140"/>
          <w:sz w:val="21"/>
        </w:rPr>
        <w:t>Chief Financial Officer.</w:t>
      </w:r>
      <w:r>
        <w:rPr>
          <w:rFonts w:ascii="Arial" w:hAnsi="Arial" w:eastAsia="Arial"/>
          <w:b w:val="0"/>
          <w:i w:val="0"/>
          <w:color w:val="2A3140"/>
          <w:sz w:val="21"/>
        </w:rPr>
        <w:t xml:space="preserve"> "Show me return on capital, not just revenue. Our returns are good; I don't want a project that dilutes them or puts our name on someone else's losses."</w:t>
      </w:r>
    </w:p>
    <w:p>
      <w:pPr>
        <w:spacing w:before="200"/>
      </w:pPr>
      <w:r>
        <w:rPr>
          <w:rFonts w:ascii="Georgia" w:hAnsi="Georgia" w:eastAsia="Georgia"/>
          <w:b/>
          <w:i w:val="0"/>
          <w:color w:val="1E3A5F"/>
          <w:sz w:val="26"/>
        </w:rPr>
        <w:t>9. Questions</w:t>
      </w:r>
    </w:p>
    <w:p>
      <w:r>
        <w:rPr>
          <w:rFonts w:ascii="Arial" w:hAnsi="Arial" w:eastAsia="Arial"/>
          <w:b w:val="0"/>
          <w:i w:val="0"/>
          <w:color w:val="2A3140"/>
          <w:sz w:val="21"/>
        </w:rPr>
        <w:t xml:space="preserve">1. </w:t>
      </w:r>
      <w:r>
        <w:rPr>
          <w:rFonts w:ascii="Arial" w:hAnsi="Arial" w:eastAsia="Arial"/>
          <w:b/>
          <w:i w:val="0"/>
          <w:color w:val="2A3140"/>
          <w:sz w:val="21"/>
        </w:rPr>
        <w:t>Size the issue.</w:t>
      </w:r>
      <w:r>
        <w:rPr>
          <w:rFonts w:ascii="Arial" w:hAnsi="Arial" w:eastAsia="Arial"/>
          <w:b w:val="0"/>
          <w:i w:val="0"/>
          <w:color w:val="2A3140"/>
          <w:sz w:val="21"/>
        </w:rPr>
        <w:t xml:space="preserve"> Using Exhibits 1–4 and 8, describe what is at stake: C&amp;I's share of loans and its growth from December 2025 to June 2026; the C&amp;I yield against the indicative direct lending all-in coupon (1M CME Term SOFR of 3.925% on 9 October 2026 plus the LTM spread, Exhibit 7); and the annual net interest income, CET1 capital and relationship revenue that the declined or lost requests in Exhibit 8 represent. State your funding cost, risk weight and other assumptions.</w:t>
      </w:r>
    </w:p>
    <w:p>
      <w:r>
        <w:rPr>
          <w:rFonts w:ascii="Arial" w:hAnsi="Arial" w:eastAsia="Arial"/>
          <w:b w:val="0"/>
          <w:i w:val="0"/>
          <w:color w:val="2A3140"/>
          <w:sz w:val="21"/>
        </w:rPr>
        <w:t xml:space="preserve">2. </w:t>
      </w:r>
      <w:r>
        <w:rPr>
          <w:rFonts w:ascii="Arial" w:hAnsi="Arial" w:eastAsia="Arial"/>
          <w:b/>
          <w:i w:val="0"/>
          <w:color w:val="2A3140"/>
          <w:sz w:val="21"/>
        </w:rPr>
        <w:t>Option economics.</w:t>
      </w:r>
      <w:r>
        <w:rPr>
          <w:rFonts w:ascii="Arial" w:hAnsi="Arial" w:eastAsia="Arial"/>
          <w:b w:val="0"/>
          <w:i w:val="0"/>
          <w:color w:val="2A3140"/>
          <w:sz w:val="21"/>
        </w:rPr>
        <w:t xml:space="preserve"> For options A–D, estimate the annual fee income, net interest income, CET1 capital consumed or released and return on allocated CET1 for a year of activity at the Exhibit 8 volume. Label every assumption and compare each option with Regions' ROATCE (Exhibit 2).</w:t>
      </w:r>
    </w:p>
    <w:p>
      <w:r>
        <w:rPr>
          <w:rFonts w:ascii="Arial" w:hAnsi="Arial" w:eastAsia="Arial"/>
          <w:b w:val="0"/>
          <w:i w:val="0"/>
          <w:color w:val="2A3140"/>
          <w:sz w:val="21"/>
        </w:rPr>
        <w:t xml:space="preserve">3. </w:t>
      </w:r>
      <w:r>
        <w:rPr>
          <w:rFonts w:ascii="Arial" w:hAnsi="Arial" w:eastAsia="Arial"/>
          <w:b/>
          <w:i w:val="0"/>
          <w:color w:val="2A3140"/>
          <w:sz w:val="21"/>
        </w:rPr>
        <w:t>Precedents and partner choice.</w:t>
      </w:r>
      <w:r>
        <w:rPr>
          <w:rFonts w:ascii="Arial" w:hAnsi="Arial" w:eastAsia="Arial"/>
          <w:b w:val="0"/>
          <w:i w:val="0"/>
          <w:color w:val="2A3140"/>
          <w:sz w:val="21"/>
        </w:rPr>
        <w:t xml:space="preserve"> Which precedent in Exhibit 6 is closest to what Regions should do, and why? Set out three to five criteria for choosing a partner.</w:t>
      </w:r>
    </w:p>
    <w:p>
      <w:r>
        <w:rPr>
          <w:rFonts w:ascii="Arial" w:hAnsi="Arial" w:eastAsia="Arial"/>
          <w:b w:val="0"/>
          <w:i w:val="0"/>
          <w:color w:val="2A3140"/>
          <w:sz w:val="21"/>
        </w:rPr>
        <w:t xml:space="preserve">4. </w:t>
      </w:r>
      <w:r>
        <w:rPr>
          <w:rFonts w:ascii="Arial" w:hAnsi="Arial" w:eastAsia="Arial"/>
          <w:b/>
          <w:i w:val="0"/>
          <w:color w:val="2A3140"/>
          <w:sz w:val="21"/>
        </w:rPr>
        <w:t>Scenarios.</w:t>
      </w:r>
      <w:r>
        <w:rPr>
          <w:rFonts w:ascii="Arial" w:hAnsi="Arial" w:eastAsia="Arial"/>
          <w:b w:val="0"/>
          <w:i w:val="0"/>
          <w:color w:val="2A3140"/>
          <w:sz w:val="21"/>
        </w:rPr>
        <w:t xml:space="preserve"> Test your recommended option against (i) a credit downturn, using Regions' own weakest quarter in Exhibit 2 (name it and the metric) and a stress you justify for the partner portfolio; (ii) a forward-curve +100bp rate stress (Exhibit 7), showing its effect on the interest cover of a typical private credit borrower and on your option's income and return on CET1; (iii) the partner underperforming or withdrawing; and (iv) competitive response and cannibalisation of Regions' own C&amp;I loans, revolvers and fees, including the special mention and substandard loans in Exhibit 3. What would break the recommendation?</w:t>
      </w:r>
    </w:p>
    <w:p>
      <w:r>
        <w:rPr>
          <w:rFonts w:ascii="Arial" w:hAnsi="Arial" w:eastAsia="Arial"/>
          <w:b w:val="0"/>
          <w:i w:val="0"/>
          <w:color w:val="2A3140"/>
          <w:sz w:val="21"/>
        </w:rPr>
        <w:t xml:space="preserve">5. </w:t>
      </w:r>
      <w:r>
        <w:rPr>
          <w:rFonts w:ascii="Arial" w:hAnsi="Arial" w:eastAsia="Arial"/>
          <w:b/>
          <w:i w:val="0"/>
          <w:color w:val="2A3140"/>
          <w:sz w:val="21"/>
        </w:rPr>
        <w:t>Partnership design.</w:t>
      </w:r>
      <w:r>
        <w:rPr>
          <w:rFonts w:ascii="Arial" w:hAnsi="Arial" w:eastAsia="Arial"/>
          <w:b w:val="0"/>
          <w:i w:val="0"/>
          <w:color w:val="2A3140"/>
          <w:sz w:val="21"/>
        </w:rPr>
        <w:t xml:space="preserve"> Specify the economics split, exclusivity, governance and credit decisions, conflicts when a shared borrower gets into trouble, Regions' balance-sheet commitment, exit rights and the regulatory capital treatment you would seek. What would you negotiate hardest?</w:t>
      </w:r>
    </w:p>
    <w:p>
      <w:r>
        <w:rPr>
          <w:rFonts w:ascii="Arial" w:hAnsi="Arial" w:eastAsia="Arial"/>
          <w:b w:val="0"/>
          <w:i w:val="0"/>
          <w:color w:val="2A3140"/>
          <w:sz w:val="21"/>
        </w:rPr>
        <w:t xml:space="preserve">6. </w:t>
      </w:r>
      <w:r>
        <w:rPr>
          <w:rFonts w:ascii="Arial" w:hAnsi="Arial" w:eastAsia="Arial"/>
          <w:b/>
          <w:i w:val="0"/>
          <w:color w:val="2A3140"/>
          <w:sz w:val="21"/>
        </w:rPr>
        <w:t>Recommendation.</w:t>
      </w:r>
      <w:r>
        <w:rPr>
          <w:rFonts w:ascii="Arial" w:hAnsi="Arial" w:eastAsia="Arial"/>
          <w:b w:val="0"/>
          <w:i w:val="0"/>
          <w:color w:val="2A3140"/>
          <w:sz w:val="21"/>
        </w:rPr>
        <w:t xml:space="preserve"> State your recommendation up front in the executive summary, with the two or three reasons tied to Regions' data, the conditions, a 90-day plan and what would change your view. Support it with the 10–12 slide deck.</w:t>
      </w:r>
    </w:p>
    <w:p>
      <w:pPr>
        <w:spacing w:before="120"/>
      </w:pPr>
      <w:r>
        <w:rPr>
          <w:rFonts w:ascii="Georgia" w:hAnsi="Georgia" w:eastAsia="Georgia"/>
          <w:b/>
          <w:i w:val="0"/>
          <w:color w:val="121826"/>
          <w:sz w:val="22"/>
        </w:rPr>
        <w:t>How your summary is assessed</w:t>
      </w:r>
    </w:p>
    <w:p>
      <w:r>
        <w:rPr>
          <w:rFonts w:ascii="Arial" w:hAnsi="Arial" w:eastAsia="Arial"/>
          <w:b w:val="0"/>
          <w:i w:val="0"/>
          <w:color w:val="2A3140"/>
          <w:sz w:val="21"/>
        </w:rPr>
        <w:t>Your executive summary is scored out of 100 on the platform's six rubric areas, read the way a client steering committee reads a consulting recommendation. The deck is read only to confirm that it tells the same story; the summary carries the grade.</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960"/>
        <w:gridCol w:w="5400"/>
      </w:tblGrid>
      <w:tr>
        <w:tc>
          <w:tcPr>
            <w:tcW w:type="dxa" w:w="3960"/>
            <w:shd w:val="clear" w:color="auto" w:fill="E4EAF3"/>
          </w:tcPr>
          <w:p>
            <w:r>
              <w:rPr>
                <w:rFonts w:ascii="Arial" w:hAnsi="Arial" w:eastAsia="Arial"/>
                <w:b/>
                <w:i w:val="0"/>
                <w:color w:val="121826"/>
                <w:sz w:val="17"/>
              </w:rPr>
              <w:t>Rubric area (points)</w:t>
            </w:r>
          </w:p>
        </w:tc>
        <w:tc>
          <w:tcPr>
            <w:tcW w:type="dxa" w:w="5400"/>
            <w:shd w:val="clear" w:color="auto" w:fill="E4EAF3"/>
          </w:tcPr>
          <w:p>
            <w:r>
              <w:rPr>
                <w:rFonts w:ascii="Arial" w:hAnsi="Arial" w:eastAsia="Arial"/>
                <w:b/>
                <w:i w:val="0"/>
                <w:color w:val="121826"/>
                <w:sz w:val="17"/>
              </w:rPr>
              <w:t>What the steering committee looks for</w:t>
            </w:r>
          </w:p>
        </w:tc>
      </w:tr>
      <w:tr>
        <w:tc>
          <w:tcPr>
            <w:tcW w:type="dxa" w:w="3960"/>
          </w:tcPr>
          <w:p>
            <w:r>
              <w:rPr>
                <w:rFonts w:ascii="Arial" w:hAnsi="Arial" w:eastAsia="Arial"/>
                <w:b/>
                <w:i w:val="0"/>
                <w:color w:val="2A3140"/>
                <w:sz w:val="17"/>
              </w:rPr>
              <w:t>thesis</w:t>
            </w:r>
            <w:r>
              <w:rPr>
                <w:rFonts w:ascii="Arial" w:hAnsi="Arial" w:eastAsia="Arial"/>
                <w:b w:val="0"/>
                <w:i w:val="0"/>
                <w:color w:val="2A3140"/>
                <w:sz w:val="17"/>
              </w:rPr>
              <w:t>: the recommendation (15)</w:t>
            </w:r>
          </w:p>
        </w:tc>
        <w:tc>
          <w:tcPr>
            <w:tcW w:type="dxa" w:w="5400"/>
          </w:tcPr>
          <w:p>
            <w:r>
              <w:rPr>
                <w:rFonts w:ascii="Arial" w:hAnsi="Arial" w:eastAsia="Arial"/>
                <w:b w:val="0"/>
                <w:i w:val="0"/>
                <w:color w:val="2A3140"/>
                <w:sz w:val="17"/>
              </w:rPr>
              <w:t>The answer in the opening paragraph: which option Regions should pursue, on what conditions, with two or three reasons drawn from the client's own data rather than adjectives.</w:t>
            </w:r>
          </w:p>
        </w:tc>
      </w:tr>
      <w:tr>
        <w:tc>
          <w:tcPr>
            <w:tcW w:type="dxa" w:w="3960"/>
          </w:tcPr>
          <w:p>
            <w:r>
              <w:rPr>
                <w:rFonts w:ascii="Arial" w:hAnsi="Arial" w:eastAsia="Arial"/>
                <w:b/>
                <w:i w:val="0"/>
                <w:color w:val="2A3140"/>
                <w:sz w:val="17"/>
              </w:rPr>
              <w:t>business_risk</w:t>
            </w:r>
            <w:r>
              <w:rPr>
                <w:rFonts w:ascii="Arial" w:hAnsi="Arial" w:eastAsia="Arial"/>
                <w:b w:val="0"/>
                <w:i w:val="0"/>
                <w:color w:val="2A3140"/>
                <w:sz w:val="17"/>
              </w:rPr>
              <w:t>: strategic and partner risk (15)</w:t>
            </w:r>
          </w:p>
        </w:tc>
        <w:tc>
          <w:tcPr>
            <w:tcW w:type="dxa" w:w="5400"/>
          </w:tcPr>
          <w:p>
            <w:r>
              <w:rPr>
                <w:rFonts w:ascii="Arial" w:hAnsi="Arial" w:eastAsia="Arial"/>
                <w:b w:val="0"/>
                <w:i w:val="0"/>
                <w:color w:val="2A3140"/>
                <w:sz w:val="17"/>
              </w:rPr>
              <w:t>The few risks that decide whether the strategy works for Regions, ranked, each explained as a mechanism with evidence from the briefing book and a mitigant or open question. Generic risks that would fit any bank earn little.</w:t>
            </w:r>
          </w:p>
        </w:tc>
      </w:tr>
      <w:tr>
        <w:tc>
          <w:tcPr>
            <w:tcW w:type="dxa" w:w="3960"/>
          </w:tcPr>
          <w:p>
            <w:r>
              <w:rPr>
                <w:rFonts w:ascii="Arial" w:hAnsi="Arial" w:eastAsia="Arial"/>
                <w:b/>
                <w:i w:val="0"/>
                <w:color w:val="2A3140"/>
                <w:sz w:val="17"/>
              </w:rPr>
              <w:t>financial_analysis</w:t>
            </w:r>
            <w:r>
              <w:rPr>
                <w:rFonts w:ascii="Arial" w:hAnsi="Arial" w:eastAsia="Arial"/>
                <w:b w:val="0"/>
                <w:i w:val="0"/>
                <w:color w:val="2A3140"/>
                <w:sz w:val="17"/>
              </w:rPr>
              <w:t>: sizing and option economics (20)</w:t>
            </w:r>
          </w:p>
        </w:tc>
        <w:tc>
          <w:tcPr>
            <w:tcW w:type="dxa" w:w="5400"/>
          </w:tcPr>
          <w:p>
            <w:r>
              <w:rPr>
                <w:rFonts w:ascii="Arial" w:hAnsi="Arial" w:eastAsia="Arial"/>
                <w:b w:val="0"/>
                <w:i w:val="0"/>
                <w:color w:val="2A3140"/>
                <w:sz w:val="17"/>
              </w:rPr>
              <w:t>Sizing and option economics that reconcile to the exhibits, with each assumption labelled, and the base rate, its date and its source stated next to any all-in rate.</w:t>
            </w:r>
          </w:p>
        </w:tc>
      </w:tr>
      <w:tr>
        <w:tc>
          <w:tcPr>
            <w:tcW w:type="dxa" w:w="3960"/>
          </w:tcPr>
          <w:p>
            <w:r>
              <w:rPr>
                <w:rFonts w:ascii="Arial" w:hAnsi="Arial" w:eastAsia="Arial"/>
                <w:b/>
                <w:i w:val="0"/>
                <w:color w:val="2A3140"/>
                <w:sz w:val="17"/>
              </w:rPr>
              <w:t>downside_case</w:t>
            </w:r>
            <w:r>
              <w:rPr>
                <w:rFonts w:ascii="Arial" w:hAnsi="Arial" w:eastAsia="Arial"/>
                <w:b w:val="0"/>
                <w:i w:val="0"/>
                <w:color w:val="2A3140"/>
                <w:sz w:val="17"/>
              </w:rPr>
              <w:t>: scenarios (20)</w:t>
            </w:r>
          </w:p>
        </w:tc>
        <w:tc>
          <w:tcPr>
            <w:tcW w:type="dxa" w:w="5400"/>
          </w:tcPr>
          <w:p>
            <w:r>
              <w:rPr>
                <w:rFonts w:ascii="Arial" w:hAnsi="Arial" w:eastAsia="Arial"/>
                <w:b w:val="0"/>
                <w:i w:val="0"/>
                <w:color w:val="2A3140"/>
                <w:sz w:val="17"/>
              </w:rPr>
              <w:t>Scenarios anchored in Regions' own history and in the rate stress named in question 4, carried through to income, capital and return, with a plain statement of what would change the answer.</w:t>
            </w:r>
          </w:p>
        </w:tc>
      </w:tr>
      <w:tr>
        <w:tc>
          <w:tcPr>
            <w:tcW w:type="dxa" w:w="3960"/>
          </w:tcPr>
          <w:p>
            <w:r>
              <w:rPr>
                <w:rFonts w:ascii="Arial" w:hAnsi="Arial" w:eastAsia="Arial"/>
                <w:b/>
                <w:i w:val="0"/>
                <w:color w:val="2A3140"/>
                <w:sz w:val="17"/>
              </w:rPr>
              <w:t>structure</w:t>
            </w:r>
            <w:r>
              <w:rPr>
                <w:rFonts w:ascii="Arial" w:hAnsi="Arial" w:eastAsia="Arial"/>
                <w:b w:val="0"/>
                <w:i w:val="0"/>
                <w:color w:val="2A3140"/>
                <w:sz w:val="17"/>
              </w:rPr>
              <w:t>: partnership design (15)</w:t>
            </w:r>
          </w:p>
        </w:tc>
        <w:tc>
          <w:tcPr>
            <w:tcW w:type="dxa" w:w="5400"/>
          </w:tcPr>
          <w:p>
            <w:r>
              <w:rPr>
                <w:rFonts w:ascii="Arial" w:hAnsi="Arial" w:eastAsia="Arial"/>
                <w:b w:val="0"/>
                <w:i w:val="0"/>
                <w:color w:val="2A3140"/>
                <w:sz w:val="17"/>
              </w:rPr>
              <w:t>A judgement on the terms that protect Regions, not a description of them: economics, control of credit decisions and of the client, conflicts, exits and capital treatment, and the changes you would push for.</w:t>
            </w:r>
          </w:p>
        </w:tc>
      </w:tr>
      <w:tr>
        <w:tc>
          <w:tcPr>
            <w:tcW w:type="dxa" w:w="3960"/>
          </w:tcPr>
          <w:p>
            <w:r>
              <w:rPr>
                <w:rFonts w:ascii="Arial" w:hAnsi="Arial" w:eastAsia="Arial"/>
                <w:b/>
                <w:i w:val="0"/>
                <w:color w:val="2A3140"/>
                <w:sz w:val="17"/>
              </w:rPr>
              <w:t>communication</w:t>
            </w:r>
            <w:r>
              <w:rPr>
                <w:rFonts w:ascii="Arial" w:hAnsi="Arial" w:eastAsia="Arial"/>
                <w:b w:val="0"/>
                <w:i w:val="0"/>
                <w:color w:val="2A3140"/>
                <w:sz w:val="17"/>
              </w:rPr>
              <w:t>: executive communication (15)</w:t>
            </w:r>
          </w:p>
        </w:tc>
        <w:tc>
          <w:tcPr>
            <w:tcW w:type="dxa" w:w="5400"/>
          </w:tcPr>
          <w:p>
            <w:r>
              <w:rPr>
                <w:rFonts w:ascii="Arial" w:hAnsi="Arial" w:eastAsia="Arial"/>
                <w:b w:val="0"/>
                <w:i w:val="0"/>
                <w:color w:val="2A3140"/>
                <w:sz w:val="17"/>
              </w:rPr>
              <w:t>One to two pages a committee can read in one sitting, answer first, a figure behind each important claim, and the same numbers and recommendation in the summary and the deck.</w:t>
            </w:r>
          </w:p>
        </w:tc>
      </w:tr>
    </w:tbl>
    <w:p>
      <w:pPr>
        <w:spacing w:after="40"/>
      </w:pPr>
    </w:p>
    <w:p>
      <w:r>
        <w:rPr>
          <w:rFonts w:ascii="Arial" w:hAnsi="Arial" w:eastAsia="Arial"/>
          <w:b w:val="0"/>
          <w:i w:val="0"/>
          <w:color w:val="2A3140"/>
          <w:sz w:val="21"/>
        </w:rPr>
        <w:t>Four checks are reported but carry no points: whether your figures tie to the briefing book, whether you answered the questions asked, how far you go beyond restating the packet, and polish. At Intermediate level the scenarios must rest on the client's own history, and the summary must judge whether the proposed terms protect Regions.</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eastAsia="Arial"/>
        <w:b w:val="0"/>
        <w:i w:val="0"/>
        <w:color w:val="5B6475"/>
        <w:sz w:val="16"/>
      </w:rPr>
      <w:t xml:space="preserve">IC Simulator · Regions: partner with private credit? · Intermediate · Practice use only · Page </w:t>
    </w:r>
    <w:r>
      <w:rPr>
        <w:color w:val="5B6475"/>
        <w:sz w:val="16"/>
      </w:rPr>
      <w:fldChar w:fldCharType="begin"/>
    </w:r>
    <w:r>
      <w:rPr>
        <w:color w:val="5B6475"/>
        <w:sz w:val="16"/>
      </w:rPr>
      <w:instrText xml:space="preserve">PAGE</w:instrText>
    </w:r>
    <w:r>
      <w:rPr>
        <w:color w:val="5B6475"/>
        <w:sz w:val="16"/>
      </w:rPr>
      <w:fldChar w:fldCharType="end"/>
    </w:r>
    <w:r>
      <w:rPr>
        <w:rFonts w:ascii="Arial" w:hAnsi="Arial" w:eastAsia="Arial"/>
        <w:b w:val="0"/>
        <w:i w:val="0"/>
        <w:color w:val="5B6475"/>
        <w:sz w:val="16"/>
      </w:rPr>
      <w:t xml:space="preserve"> of </w:t>
    </w:r>
    <w:r>
      <w:rPr>
        <w:color w:val="5B6475"/>
        <w:sz w:val="16"/>
      </w:rPr>
      <w:fldChar w:fldCharType="begin"/>
    </w:r>
    <w:r>
      <w:rPr>
        <w:color w:val="5B6475"/>
        <w:sz w:val="16"/>
      </w:rPr>
      <w:instrText xml:space="preserve">NUMPAGES</w:instrText>
    </w:r>
    <w:r>
      <w:rPr>
        <w:color w:val="5B647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val="0"/>
        <w:i w:val="0"/>
        <w:color w:val="5B6475"/>
        <w:sz w:val="16"/>
      </w:rPr>
      <w:t>Regions: partner with private credit? · Client briefing 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A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Regions: partner with private credit? · Client briefing book</dc:title>
  <dc:subject/>
  <dc:creator>IC Simulator</dc:creator>
  <cp:keywords/>
  <dc:description>generated by python-docx</dc:description>
  <cp:lastModifiedBy/>
  <cp:revision>1</cp:revision>
  <dcterms:created xsi:type="dcterms:W3CDTF">2013-12-23T23:15:00Z</dcterms:created>
  <dcterms:modified xsi:type="dcterms:W3CDTF">2013-12-23T23:15:00Z</dcterms:modified>
  <cp:category/>
</cp:coreProperties>
</file>