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TCW Steel City Senior Lending BDC: $200M subscription line, renewal and upsize request</w:t>
      </w:r>
    </w:p>
    <w:p>
      <w:pPr>
        <w:spacing w:after="80"/>
      </w:pPr>
      <w:r>
        <w:rPr>
          <w:b/>
        </w:rPr>
        <w:t>Credit Approval Committee screening packet · Calloway Trust Bank, N.A. · Fund Finance</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3649"/>
        <w:gridCol w:w="5710"/>
      </w:tblGrid>
      <w:tr>
        <w:tc>
          <w:tcPr>
            <w:tcW w:type="dxa" w:w="3650"/>
            <w:shd w:val="clear" w:color="auto" w:fill="E4EAF3"/>
          </w:tcPr>
          <w:p>
            <w:pPr>
              <w:spacing w:after="0"/>
            </w:pPr>
            <w:r>
              <w:rPr>
                <w:b/>
                <w:color w:val="121826"/>
                <w:sz w:val="17"/>
              </w:rPr>
              <w:t>Item</w:t>
            </w:r>
          </w:p>
        </w:tc>
        <w:tc>
          <w:tcPr>
            <w:tcW w:type="dxa" w:w="5710"/>
            <w:shd w:val="clear" w:color="auto" w:fill="E4EAF3"/>
          </w:tcPr>
          <w:p>
            <w:pPr>
              <w:spacing w:after="0"/>
            </w:pPr>
            <w:r>
              <w:rPr>
                <w:b/>
                <w:color w:val="121826"/>
                <w:sz w:val="17"/>
              </w:rPr>
              <w:t>Detail</w:t>
            </w:r>
          </w:p>
        </w:tc>
      </w:tr>
      <w:tr>
        <w:tc>
          <w:tcPr>
            <w:tcW w:type="dxa" w:w="3650"/>
          </w:tcPr>
          <w:p>
            <w:pPr>
              <w:spacing w:after="0"/>
            </w:pPr>
            <w:r>
              <w:rPr>
                <w:sz w:val="17"/>
              </w:rPr>
              <w:t>Borrower</w:t>
            </w:r>
          </w:p>
        </w:tc>
        <w:tc>
          <w:tcPr>
            <w:tcW w:type="dxa" w:w="5710"/>
          </w:tcPr>
          <w:p>
            <w:pPr>
              <w:spacing w:after="0"/>
            </w:pPr>
            <w:r>
              <w:rPr>
                <w:sz w:val="17"/>
              </w:rPr>
              <w:t>TCW Steel City Senior Lending BDC (SEC registrant, CIK 2043133), advised by TCW PT Management Company LLC and sub-advised by PNC Steel City Advisors, LLC</w:t>
            </w:r>
          </w:p>
        </w:tc>
      </w:tr>
      <w:tr>
        <w:tc>
          <w:tcPr>
            <w:tcW w:type="dxa" w:w="3650"/>
          </w:tcPr>
          <w:p>
            <w:pPr>
              <w:spacing w:after="0"/>
            </w:pPr>
            <w:r>
              <w:rPr>
                <w:sz w:val="17"/>
              </w:rPr>
              <w:t>Data as of</w:t>
            </w:r>
          </w:p>
        </w:tc>
        <w:tc>
          <w:tcPr>
            <w:tcW w:type="dxa" w:w="5710"/>
          </w:tcPr>
          <w:p>
            <w:pPr>
              <w:spacing w:after="0"/>
            </w:pPr>
            <w:r>
              <w:rPr>
                <w:sz w:val="17"/>
              </w:rPr>
              <w:t>Jun 30, 2026 (latest Form 10-Q, filed Aug 12, 2026), with subsequent events to Jul 24, 2026; market data as of Oct 9, 2026</w:t>
            </w:r>
          </w:p>
        </w:tc>
      </w:tr>
      <w:tr>
        <w:tc>
          <w:tcPr>
            <w:tcW w:type="dxa" w:w="3650"/>
          </w:tcPr>
          <w:p>
            <w:pPr>
              <w:spacing w:after="0"/>
            </w:pPr>
            <w:r>
              <w:rPr>
                <w:sz w:val="17"/>
              </w:rPr>
              <w:t>Decision date</w:t>
            </w:r>
          </w:p>
        </w:tc>
        <w:tc>
          <w:tcPr>
            <w:tcW w:type="dxa" w:w="5710"/>
          </w:tcPr>
          <w:p>
            <w:pPr>
              <w:spacing w:after="0"/>
            </w:pPr>
            <w:r>
              <w:rPr>
                <w:sz w:val="17"/>
              </w:rPr>
              <w:t>Credit Approval Committee, Oct 21, 2026 (HYPOTHETICAL)</w:t>
            </w:r>
          </w:p>
        </w:tc>
      </w:tr>
      <w:tr>
        <w:tc>
          <w:tcPr>
            <w:tcW w:type="dxa" w:w="3650"/>
          </w:tcPr>
          <w:p>
            <w:pPr>
              <w:spacing w:after="0"/>
            </w:pPr>
            <w:r>
              <w:rPr>
                <w:sz w:val="17"/>
              </w:rPr>
              <w:t>Level and time</w:t>
            </w:r>
          </w:p>
        </w:tc>
        <w:tc>
          <w:tcPr>
            <w:tcW w:type="dxa" w:w="5710"/>
          </w:tcPr>
          <w:p>
            <w:pPr>
              <w:spacing w:after="0"/>
            </w:pPr>
            <w:r>
              <w:rPr>
                <w:sz w:val="17"/>
              </w:rPr>
              <w:t>Foundational · 90 minutes · screening memo of up to 1,200 words</w:t>
            </w:r>
          </w:p>
        </w:tc>
      </w:tr>
      <w:tr>
        <w:tc>
          <w:tcPr>
            <w:tcW w:type="dxa" w:w="3650"/>
          </w:tcPr>
          <w:p>
            <w:pPr>
              <w:spacing w:after="0"/>
            </w:pPr>
            <w:r>
              <w:rPr>
                <w:sz w:val="17"/>
              </w:rPr>
              <w:t>Data book</w:t>
            </w:r>
          </w:p>
        </w:tc>
        <w:tc>
          <w:tcPr>
            <w:tcW w:type="dxa" w:w="5710"/>
          </w:tcPr>
          <w:p>
            <w:pPr>
              <w:spacing w:after="0"/>
            </w:pPr>
            <w:r>
              <w:rPr>
                <w:sz w:val="17"/>
              </w:rPr>
              <w:t>exhibits-tcw-steel-city-sub-line.xlsx (Exhibits 1–4 and a Checks tab)</w:t>
            </w:r>
          </w:p>
        </w:tc>
      </w:tr>
    </w:tbl>
    <w:p>
      <w:pPr>
        <w:spacing w:after="40"/>
      </w:pPr>
    </w:p>
    <w:p>
      <w:r>
        <w:rPr>
          <w:b/>
          <w:color w:val="5B6475"/>
          <w:sz w:val="18"/>
        </w:rPr>
        <w:t>About this case.</w:t>
      </w:r>
      <w:r>
        <w:rPr>
          <w:color w:val="5B6475"/>
          <w:sz w:val="18"/>
        </w:rPr>
        <w:t xml:space="preserve"> The borrower, its two credit facilities, its financial statements, its capital commitments and capital calls, and the subscription line's legal terms are real and come from SEC filings (sources under each exhibit and in the data book README). The following are HYPOTHETICAL: Calloway Trust Bank (your employer); TCW's renewal and upsize request (Exhibit 4A); the Advisor's projections (Exhibit 4B); and the investor roster in Exhibit 3A. The real investor list is confidential, so every investor name, commitment size, classification, rating and eligibility datum in Exhibit 3A is fictional. The roster's totals (commitments, undrawn commitments, the July 1, 2026 call, and the number of investors) match the filings. Practice use only.</w:t>
      </w:r>
    </w:p>
    <w:p>
      <w:pPr>
        <w:pStyle w:val="Heading2"/>
      </w:pPr>
      <w:r>
        <w:t>0. The ask</w:t>
      </w:r>
    </w:p>
    <w:p>
      <w:pPr>
        <w:spacing w:after="80"/>
      </w:pPr>
      <w:r>
        <w:t>You are an associate in Calloway Trust Bank's fund finance team. Natixis, New York Branch, agent and sole lender group on TCW Steel City's $200.0M subscription line, has invited Calloway to join a renewal as a new Committed Lender with a $50.0M commitment. That would take the Maximum Commitment to $250.0M. TCW also wants the Stated Maturity Date moved from Apr 21, 2027 to Apr 21, 2029, and four other changes (Exhibit 4A).</w:t>
      </w:r>
    </w:p>
    <w:p>
      <w:pPr>
        <w:spacing w:after="80"/>
      </w:pPr>
      <w:r>
        <w:t>The Credit Approval Committee meets on Oct 21, 2026. It wants a screening memo of up to 1,200 words with a recommendation (approve, approve with conditions, or decline) and a proposed commitment size. Work from this packet and the data book only, and answer the six questions in Section 9. Time budget: 90 minutes. No case-specific model, memo or deck templates exist yet for this case; build your own workings in the data book.</w:t>
      </w:r>
    </w:p>
    <w:p>
      <w:pPr>
        <w:pStyle w:val="Heading2"/>
      </w:pPr>
      <w:r>
        <w:t>1. Transaction summary</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3959"/>
        <w:gridCol w:w="5400"/>
      </w:tblGrid>
      <w:tr>
        <w:tc>
          <w:tcPr>
            <w:tcW w:type="dxa" w:w="3960"/>
            <w:shd w:val="clear" w:color="auto" w:fill="E4EAF3"/>
          </w:tcPr>
          <w:p>
            <w:pPr>
              <w:spacing w:after="0"/>
            </w:pPr>
            <w:r>
              <w:rPr>
                <w:b/>
                <w:color w:val="121826"/>
                <w:sz w:val="17"/>
              </w:rPr>
              <w:t>Term</w:t>
            </w:r>
          </w:p>
        </w:tc>
        <w:tc>
          <w:tcPr>
            <w:tcW w:type="dxa" w:w="5400"/>
            <w:shd w:val="clear" w:color="auto" w:fill="E4EAF3"/>
          </w:tcPr>
          <w:p>
            <w:pPr>
              <w:spacing w:after="0"/>
            </w:pPr>
            <w:r>
              <w:rPr>
                <w:b/>
                <w:color w:val="121826"/>
                <w:sz w:val="17"/>
              </w:rPr>
              <w:t>Detail</w:t>
            </w:r>
          </w:p>
        </w:tc>
      </w:tr>
      <w:tr>
        <w:tc>
          <w:tcPr>
            <w:tcW w:type="dxa" w:w="3960"/>
          </w:tcPr>
          <w:p>
            <w:pPr>
              <w:spacing w:after="0"/>
            </w:pPr>
            <w:r>
              <w:rPr>
                <w:sz w:val="17"/>
              </w:rPr>
              <w:t>Borrower</w:t>
            </w:r>
          </w:p>
        </w:tc>
        <w:tc>
          <w:tcPr>
            <w:tcW w:type="dxa" w:w="5400"/>
          </w:tcPr>
          <w:p>
            <w:pPr>
              <w:spacing w:after="0"/>
            </w:pPr>
            <w:r>
              <w:rPr>
                <w:sz w:val="17"/>
              </w:rPr>
              <w:t>TCW Steel City Senior Lending BDC (formerly TCW Steel City Perpetual Levered Fund LP), a privately offered, perpetual-life business development company (BDC)</w:t>
            </w:r>
          </w:p>
        </w:tc>
      </w:tr>
      <w:tr>
        <w:tc>
          <w:tcPr>
            <w:tcW w:type="dxa" w:w="3960"/>
          </w:tcPr>
          <w:p>
            <w:pPr>
              <w:spacing w:after="0"/>
            </w:pPr>
            <w:r>
              <w:rPr>
                <w:sz w:val="17"/>
              </w:rPr>
              <w:t>Sponsor / manager</w:t>
            </w:r>
          </w:p>
        </w:tc>
        <w:tc>
          <w:tcPr>
            <w:tcW w:type="dxa" w:w="5400"/>
          </w:tcPr>
          <w:p>
            <w:pPr>
              <w:spacing w:after="0"/>
            </w:pPr>
            <w:r>
              <w:rPr>
                <w:sz w:val="17"/>
              </w:rPr>
              <w:t>TCW Group (Advisor) with PNC Bank's PNC Steel City Advisors, LLC (Sub-Advisor), under the PNC–TCW private credit platform announced May 6, 2024</w:t>
            </w:r>
          </w:p>
        </w:tc>
      </w:tr>
      <w:tr>
        <w:tc>
          <w:tcPr>
            <w:tcW w:type="dxa" w:w="3960"/>
          </w:tcPr>
          <w:p>
            <w:pPr>
              <w:spacing w:after="0"/>
            </w:pPr>
            <w:r>
              <w:rPr>
                <w:sz w:val="17"/>
              </w:rPr>
              <w:t>Facility</w:t>
            </w:r>
          </w:p>
        </w:tc>
        <w:tc>
          <w:tcPr>
            <w:tcW w:type="dxa" w:w="5400"/>
          </w:tcPr>
          <w:p>
            <w:pPr>
              <w:spacing w:after="0"/>
            </w:pPr>
            <w:r>
              <w:rPr>
                <w:sz w:val="17"/>
              </w:rPr>
              <w:t>Secured revolving subscription credit facility ("sub line"), Natixis, New York Branch as administrative agent; Versailles Assets LLC (conduit) as committed lender</w:t>
            </w:r>
          </w:p>
        </w:tc>
      </w:tr>
      <w:tr>
        <w:tc>
          <w:tcPr>
            <w:tcW w:type="dxa" w:w="3960"/>
          </w:tcPr>
          <w:p>
            <w:pPr>
              <w:spacing w:after="0"/>
            </w:pPr>
            <w:r>
              <w:rPr>
                <w:sz w:val="17"/>
              </w:rPr>
              <w:t>Current amount</w:t>
            </w:r>
          </w:p>
        </w:tc>
        <w:tc>
          <w:tcPr>
            <w:tcW w:type="dxa" w:w="5400"/>
          </w:tcPr>
          <w:p>
            <w:pPr>
              <w:spacing w:after="0"/>
            </w:pPr>
            <w:r>
              <w:rPr>
                <w:sz w:val="17"/>
              </w:rPr>
              <w:t>$200.0M Maximum Commitment; $105.2M drawn and $15.0M available at Jun 30, 2026</w:t>
            </w:r>
          </w:p>
        </w:tc>
      </w:tr>
      <w:tr>
        <w:tc>
          <w:tcPr>
            <w:tcW w:type="dxa" w:w="3960"/>
          </w:tcPr>
          <w:p>
            <w:pPr>
              <w:spacing w:after="0"/>
            </w:pPr>
            <w:r>
              <w:rPr>
                <w:sz w:val="17"/>
              </w:rPr>
              <w:t>Requested amount</w:t>
            </w:r>
          </w:p>
        </w:tc>
        <w:tc>
          <w:tcPr>
            <w:tcW w:type="dxa" w:w="5400"/>
          </w:tcPr>
          <w:p>
            <w:pPr>
              <w:spacing w:after="0"/>
            </w:pPr>
            <w:r>
              <w:rPr>
                <w:sz w:val="17"/>
              </w:rPr>
              <w:t>$250.0M (HYPOTHETICAL), with Calloway providing $50.0M</w:t>
            </w:r>
          </w:p>
        </w:tc>
      </w:tr>
      <w:tr>
        <w:tc>
          <w:tcPr>
            <w:tcW w:type="dxa" w:w="3960"/>
          </w:tcPr>
          <w:p>
            <w:pPr>
              <w:spacing w:after="0"/>
            </w:pPr>
            <w:r>
              <w:rPr>
                <w:sz w:val="17"/>
              </w:rPr>
              <w:t>Use of proceeds</w:t>
            </w:r>
          </w:p>
        </w:tc>
        <w:tc>
          <w:tcPr>
            <w:tcW w:type="dxa" w:w="5400"/>
          </w:tcPr>
          <w:p>
            <w:pPr>
              <w:spacing w:after="0"/>
            </w:pPr>
            <w:r>
              <w:rPr>
                <w:sz w:val="17"/>
              </w:rPr>
              <w:t>Bridge financing of portfolio loans ahead of capital calls; general corporate purposes of the BDC</w:t>
            </w:r>
          </w:p>
        </w:tc>
      </w:tr>
      <w:tr>
        <w:tc>
          <w:tcPr>
            <w:tcW w:type="dxa" w:w="3960"/>
          </w:tcPr>
          <w:p>
            <w:pPr>
              <w:spacing w:after="0"/>
            </w:pPr>
            <w:r>
              <w:rPr>
                <w:sz w:val="17"/>
              </w:rPr>
              <w:t>Pricing (unchanged)</w:t>
            </w:r>
          </w:p>
        </w:tc>
        <w:tc>
          <w:tcPr>
            <w:tcW w:type="dxa" w:w="5400"/>
          </w:tcPr>
          <w:p>
            <w:pPr>
              <w:spacing w:after="0"/>
            </w:pPr>
            <w:r>
              <w:rPr>
                <w:sz w:val="17"/>
              </w:rPr>
              <w:t>Term SOFR + 2.10% (Base Rate + 1.10%), 0% floor; unused fee 0.30% / 0.50% depending on usage</w:t>
            </w:r>
          </w:p>
        </w:tc>
      </w:tr>
      <w:tr>
        <w:tc>
          <w:tcPr>
            <w:tcW w:type="dxa" w:w="3960"/>
          </w:tcPr>
          <w:p>
            <w:pPr>
              <w:spacing w:after="0"/>
            </w:pPr>
            <w:r>
              <w:rPr>
                <w:sz w:val="17"/>
              </w:rPr>
              <w:t>Current maturity</w:t>
            </w:r>
          </w:p>
        </w:tc>
        <w:tc>
          <w:tcPr>
            <w:tcW w:type="dxa" w:w="5400"/>
          </w:tcPr>
          <w:p>
            <w:pPr>
              <w:spacing w:after="0"/>
            </w:pPr>
            <w:r>
              <w:rPr>
                <w:sz w:val="17"/>
              </w:rPr>
              <w:t>Apr 21, 2027</w:t>
            </w:r>
          </w:p>
        </w:tc>
      </w:tr>
      <w:tr>
        <w:tc>
          <w:tcPr>
            <w:tcW w:type="dxa" w:w="3960"/>
          </w:tcPr>
          <w:p>
            <w:pPr>
              <w:spacing w:after="0"/>
            </w:pPr>
            <w:r>
              <w:rPr>
                <w:sz w:val="17"/>
              </w:rPr>
              <w:t>Requested maturity</w:t>
            </w:r>
          </w:p>
        </w:tc>
        <w:tc>
          <w:tcPr>
            <w:tcW w:type="dxa" w:w="5400"/>
          </w:tcPr>
          <w:p>
            <w:pPr>
              <w:spacing w:after="0"/>
            </w:pPr>
            <w:r>
              <w:rPr>
                <w:sz w:val="17"/>
              </w:rPr>
              <w:t>Apr 21, 2029, plus one 12-month extension at the Borrower's option (HYPOTHETICAL)</w:t>
            </w:r>
          </w:p>
        </w:tc>
      </w:tr>
      <w:tr>
        <w:tc>
          <w:tcPr>
            <w:tcW w:type="dxa" w:w="3960"/>
          </w:tcPr>
          <w:p>
            <w:pPr>
              <w:spacing w:after="0"/>
            </w:pPr>
            <w:r>
              <w:rPr>
                <w:sz w:val="17"/>
              </w:rPr>
              <w:t>Target closing</w:t>
            </w:r>
          </w:p>
        </w:tc>
        <w:tc>
          <w:tcPr>
            <w:tcW w:type="dxa" w:w="5400"/>
          </w:tcPr>
          <w:p>
            <w:pPr>
              <w:spacing w:after="0"/>
            </w:pPr>
            <w:r>
              <w:rPr>
                <w:sz w:val="17"/>
              </w:rPr>
              <w:t>Nov 2026 (HYPOTHETICAL)</w:t>
            </w:r>
          </w:p>
        </w:tc>
      </w:tr>
    </w:tbl>
    <w:p>
      <w:pPr>
        <w:spacing w:after="40"/>
      </w:pPr>
    </w:p>
    <w:p>
      <w:pPr>
        <w:pStyle w:val="Heading2"/>
      </w:pPr>
      <w:r>
        <w:t>2. Fund overview</w:t>
      </w:r>
    </w:p>
    <w:p>
      <w:pPr>
        <w:spacing w:after="80"/>
      </w:pPr>
      <w:r>
        <w:t>TCW Steel City Senior Lending BDC lends to US middle-market companies, almost entirely through senior secured first-lien term loans and revolvers. It was formed on Oct 14, 2024 as a Delaware limited partnership. It held its first closing on Feb 5, 2025 and further closings on Apr 8 and Aug 22, 2025, raising $441.6M of commitments by year-end. On Nov 3, 2025 it converted into a Delaware statutory trust, elected to be regulated as a BDC under the Investment Company Act of 1940, and intends to be taxed as a regulated investment company (RIC).</w:t>
      </w:r>
    </w:p>
    <w:p>
      <w:pPr>
        <w:spacing w:after="80"/>
      </w:pPr>
      <w:r>
        <w:t>The fund is the BDC vehicle of the PNC–TCW platform. The Sub-Advisor sources loans through PNC Bank's middle-market relationships; the 10-K describes a sourcing platform of over 900 client-facing business professionals. TCW's Private Credit Group staffs the Advisor's investment committee, whose permanent members are Richard T. Miller and Mark K. Gertzof; PNC's Peter Mardaga and Walter Hill sit on the Sub-Advisor's committee.</w:t>
      </w:r>
    </w:p>
    <w:p>
      <w:pPr>
        <w:spacing w:after="80"/>
      </w:pPr>
      <w:r>
        <w:rPr>
          <w:b/>
        </w:rPr>
        <w:t>How it makes money.</w:t>
      </w:r>
      <w:r>
        <w:t xml:space="preserve"> The fund earns floating-rate interest on its loans and finances part of its book with two credit facilities. Investors commit capital up front and fund it when called, on at least ten business days' notice. Each share carries a $20.00 commitment. The fund is perpetual: it plans no liquidity event and keeps raising commitments in private offerings. Commitments reached $576.0M at Jun 30, 2026, of which 48.4% was funded. It has elected the 150% asset coverage minimum, which allows debt of up to 2x equity.</w:t>
      </w:r>
    </w:p>
    <w:p>
      <w:pPr>
        <w:spacing w:after="80"/>
      </w:pPr>
      <w:r>
        <w:rPr>
          <w:b/>
        </w:rPr>
        <w:t>Scale.</w:t>
      </w:r>
      <w:r>
        <w:t xml:space="preserve"> At Jun 30, 2026 the fund held 21 debt and 2 equity positions with a fair value of $463.0M across 13 industries, and had $279.5M of net assets. LTM Jun-26 total investment income was $26.8M. It also had $92.6M of unfunded loan commitments to portfolio companies, which it must fund on demand.</w:t>
      </w:r>
    </w:p>
    <w:p>
      <w:pPr>
        <w:spacing w:after="80"/>
      </w:pPr>
      <w:r>
        <w:rPr>
          <w:b/>
        </w:rPr>
        <w:t>Two facilities with separate collateral.</w:t>
      </w:r>
      <w:r>
        <w:t xml:space="preserve"> The sub line is secured on investors' unfunded commitments, the right to call capital, and the account that receives capital contributions. Portfolio loans are expressly outside its collateral. Those loans secure the fund's $475.0M asset-based facility: a special-purpose subsidiary (TSC BDC Financing 1 LLC) borrows under it, with Barings Direct Investments LLC as facility agent, at SOFR + 2.35%. That facility had $130.0M drawn and $121.0M available at Jun 30, 2026. Its $450.0M delayed-draw term loan runs to Jan 23, 2036.</w:t>
      </w:r>
    </w:p>
    <w:p>
      <w:pPr>
        <w:pStyle w:val="Heading2"/>
      </w:pPr>
      <w:r>
        <w:t>3. Industry and market</w:t>
      </w:r>
    </w:p>
    <w:p>
      <w:pPr>
        <w:spacing w:after="80"/>
      </w:pPr>
      <w:r>
        <w:t>Subscription lines are the core fund finance product. They are short revolvers, typically 1–2 years and renewed annually, lent against investors' obligations to fund capital calls rather than against the portfolio. Pricing has tightened as banks compete for a product with a long record of very low losses. The average US sub line margin was about 1.85% in H1 2026, down from 1.96% in Q4 2025 (Maples, Aug 4, 2026; bands SL-1 and SL-2). Haynes Boone's 2026 survey found most respondents pricing 1–2 year lines at 166–180 bp, with upfront and unused fees mostly at 25 bp or less (SL-3 to SL-5).</w:t>
      </w:r>
    </w:p>
    <w:p>
      <w:pPr>
        <w:spacing w:after="80"/>
      </w:pPr>
      <w:r>
        <w:t>Borrowers are changing. In the Haynes Boone survey, 32% of 2025 sub lines had an evergreen borrower and 28% had a borrowing base made up entirely of high-net-worth investors (SL-6, SL-7). Lenders price these lines wider: evergreen funds have no final closing, and wealth-channel investors are usually unrated and reached through feeders. Perpetual BDCs also use secured asset-based facilities alongside, or instead of, sub lines.</w:t>
      </w:r>
    </w:p>
    <w:p>
      <w:pPr>
        <w:spacing w:after="80"/>
      </w:pPr>
      <w:r>
        <w:t>Base rates rose again in the autumn. The FOMC raised the federal funds target range by 25 bp to 3.75%–4.00% on Sep 16, 2026. One-month CME Term SOFR was 3.92490% on Oct 9, 2026. Exhibit 4C has the dated data points (RATE-1 to RATE-3).</w:t>
      </w:r>
    </w:p>
    <w:p>
      <w:pPr>
        <w:pStyle w:val="Heading2"/>
      </w:pPr>
      <w:r>
        <w:t>4. Portfolio and NAV (Exhibit 1)</w:t>
      </w:r>
    </w:p>
    <w:p>
      <w:pPr>
        <w:spacing w:after="80"/>
      </w:pPr>
      <w:r>
        <w:rPr>
          <w:b/>
        </w:rPr>
        <w:t>Exhibit 1A: Statement of assets and liabilities</w:t>
      </w:r>
    </w:p>
    <w:p>
      <w:r>
        <w:rPr>
          <w:i/>
          <w:color w:val="5B6475"/>
          <w:sz w:val="16"/>
        </w:rPr>
        <w:t>Units: $ in millions; fiscal year ends December 31</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4103"/>
        <w:gridCol w:w="1655"/>
        <w:gridCol w:w="1800"/>
        <w:gridCol w:w="1800"/>
      </w:tblGrid>
      <w:tr>
        <w:tc>
          <w:tcPr>
            <w:tcW w:type="dxa" w:w="4104"/>
            <w:shd w:val="clear" w:color="auto" w:fill="E4EAF3"/>
          </w:tcPr>
          <w:p>
            <w:pPr>
              <w:spacing w:after="0"/>
            </w:pPr>
            <w:r>
              <w:rPr>
                <w:b/>
                <w:color w:val="121826"/>
                <w:sz w:val="17"/>
              </w:rPr>
              <w:t>$ in millions</w:t>
            </w:r>
          </w:p>
        </w:tc>
        <w:tc>
          <w:tcPr>
            <w:tcW w:type="dxa" w:w="1655"/>
            <w:shd w:val="clear" w:color="auto" w:fill="E4EAF3"/>
          </w:tcPr>
          <w:p>
            <w:pPr>
              <w:spacing w:after="0"/>
            </w:pPr>
            <w:r>
              <w:rPr>
                <w:b/>
                <w:color w:val="121826"/>
                <w:sz w:val="17"/>
              </w:rPr>
              <w:t>Dec-25A</w:t>
            </w:r>
          </w:p>
        </w:tc>
        <w:tc>
          <w:tcPr>
            <w:tcW w:type="dxa" w:w="1801"/>
            <w:shd w:val="clear" w:color="auto" w:fill="E4EAF3"/>
          </w:tcPr>
          <w:p>
            <w:pPr>
              <w:spacing w:after="0"/>
            </w:pPr>
            <w:r>
              <w:rPr>
                <w:b/>
                <w:color w:val="121826"/>
                <w:sz w:val="17"/>
              </w:rPr>
              <w:t>Mar-26A</w:t>
            </w:r>
          </w:p>
        </w:tc>
        <w:tc>
          <w:tcPr>
            <w:tcW w:type="dxa" w:w="1801"/>
            <w:shd w:val="clear" w:color="auto" w:fill="E4EAF3"/>
          </w:tcPr>
          <w:p>
            <w:pPr>
              <w:spacing w:after="0"/>
            </w:pPr>
            <w:r>
              <w:rPr>
                <w:b/>
                <w:color w:val="121826"/>
                <w:sz w:val="17"/>
              </w:rPr>
              <w:t>Jun-26A</w:t>
            </w:r>
          </w:p>
        </w:tc>
      </w:tr>
      <w:tr>
        <w:tc>
          <w:tcPr>
            <w:tcW w:type="dxa" w:w="4104"/>
          </w:tcPr>
          <w:p>
            <w:pPr>
              <w:spacing w:after="0"/>
            </w:pPr>
            <w:r>
              <w:rPr>
                <w:sz w:val="17"/>
              </w:rPr>
              <w:t>Portfolio investments at fair value</w:t>
            </w:r>
          </w:p>
        </w:tc>
        <w:tc>
          <w:tcPr>
            <w:tcW w:type="dxa" w:w="1655"/>
          </w:tcPr>
          <w:p>
            <w:pPr>
              <w:spacing w:after="0"/>
              <w:jc w:val="right"/>
            </w:pPr>
            <w:r>
              <w:rPr>
                <w:sz w:val="17"/>
              </w:rPr>
              <w:t>340.9</w:t>
            </w:r>
          </w:p>
        </w:tc>
        <w:tc>
          <w:tcPr>
            <w:tcW w:type="dxa" w:w="1801"/>
          </w:tcPr>
          <w:p>
            <w:pPr>
              <w:spacing w:after="0"/>
              <w:jc w:val="right"/>
            </w:pPr>
            <w:r>
              <w:rPr>
                <w:sz w:val="17"/>
              </w:rPr>
              <w:t>381.9</w:t>
            </w:r>
          </w:p>
        </w:tc>
        <w:tc>
          <w:tcPr>
            <w:tcW w:type="dxa" w:w="1801"/>
          </w:tcPr>
          <w:p>
            <w:pPr>
              <w:spacing w:after="0"/>
              <w:jc w:val="right"/>
            </w:pPr>
            <w:r>
              <w:rPr>
                <w:sz w:val="17"/>
              </w:rPr>
              <w:t>463.0</w:t>
            </w:r>
          </w:p>
        </w:tc>
      </w:tr>
      <w:tr>
        <w:tc>
          <w:tcPr>
            <w:tcW w:type="dxa" w:w="4104"/>
          </w:tcPr>
          <w:p>
            <w:pPr>
              <w:spacing w:after="0"/>
            </w:pPr>
            <w:r>
              <w:rPr>
                <w:sz w:val="17"/>
              </w:rPr>
              <w:t>Cash and cash equivalents</w:t>
            </w:r>
          </w:p>
        </w:tc>
        <w:tc>
          <w:tcPr>
            <w:tcW w:type="dxa" w:w="1655"/>
          </w:tcPr>
          <w:p>
            <w:pPr>
              <w:spacing w:after="0"/>
              <w:jc w:val="right"/>
            </w:pPr>
            <w:r>
              <w:rPr>
                <w:sz w:val="17"/>
              </w:rPr>
              <w:t>3.3</w:t>
            </w:r>
          </w:p>
        </w:tc>
        <w:tc>
          <w:tcPr>
            <w:tcW w:type="dxa" w:w="1801"/>
          </w:tcPr>
          <w:p>
            <w:pPr>
              <w:spacing w:after="0"/>
              <w:jc w:val="right"/>
            </w:pPr>
            <w:r>
              <w:rPr>
                <w:sz w:val="17"/>
              </w:rPr>
              <w:t>7.4</w:t>
            </w:r>
          </w:p>
        </w:tc>
        <w:tc>
          <w:tcPr>
            <w:tcW w:type="dxa" w:w="1801"/>
          </w:tcPr>
          <w:p>
            <w:pPr>
              <w:spacing w:after="0"/>
              <w:jc w:val="right"/>
            </w:pPr>
            <w:r>
              <w:rPr>
                <w:sz w:val="17"/>
              </w:rPr>
              <w:t>46.3</w:t>
            </w:r>
          </w:p>
        </w:tc>
      </w:tr>
      <w:tr>
        <w:tc>
          <w:tcPr>
            <w:tcW w:type="dxa" w:w="4104"/>
          </w:tcPr>
          <w:p>
            <w:pPr>
              <w:spacing w:after="0"/>
            </w:pPr>
            <w:r>
              <w:rPr>
                <w:sz w:val="17"/>
              </w:rPr>
              <w:t>Short-term investments (US Treasury bills)</w:t>
            </w:r>
          </w:p>
        </w:tc>
        <w:tc>
          <w:tcPr>
            <w:tcW w:type="dxa" w:w="1655"/>
          </w:tcPr>
          <w:p>
            <w:pPr>
              <w:spacing w:after="0"/>
              <w:jc w:val="right"/>
            </w:pPr>
            <w:r>
              <w:rPr>
                <w:sz w:val="17"/>
              </w:rPr>
              <w:t>380.6</w:t>
            </w:r>
          </w:p>
        </w:tc>
        <w:tc>
          <w:tcPr>
            <w:tcW w:type="dxa" w:w="1801"/>
          </w:tcPr>
          <w:p>
            <w:pPr>
              <w:spacing w:after="0"/>
              <w:jc w:val="right"/>
            </w:pPr>
            <w:r>
              <w:rPr>
                <w:sz w:val="17"/>
              </w:rPr>
              <w:t>380.5</w:t>
            </w:r>
          </w:p>
        </w:tc>
        <w:tc>
          <w:tcPr>
            <w:tcW w:type="dxa" w:w="1801"/>
          </w:tcPr>
          <w:p>
            <w:pPr>
              <w:spacing w:after="0"/>
              <w:jc w:val="right"/>
            </w:pPr>
            <w:r>
              <w:rPr>
                <w:sz w:val="17"/>
              </w:rPr>
              <w:t>345.7</w:t>
            </w:r>
          </w:p>
        </w:tc>
      </w:tr>
      <w:tr>
        <w:tc>
          <w:tcPr>
            <w:tcW w:type="dxa" w:w="4104"/>
          </w:tcPr>
          <w:p>
            <w:pPr>
              <w:spacing w:after="0"/>
            </w:pPr>
            <w:r>
              <w:rPr>
                <w:sz w:val="17"/>
              </w:rPr>
              <w:t>Interest income receivable</w:t>
            </w:r>
          </w:p>
        </w:tc>
        <w:tc>
          <w:tcPr>
            <w:tcW w:type="dxa" w:w="1655"/>
          </w:tcPr>
          <w:p>
            <w:pPr>
              <w:spacing w:after="0"/>
              <w:jc w:val="right"/>
            </w:pPr>
            <w:r>
              <w:rPr>
                <w:sz w:val="17"/>
              </w:rPr>
              <w:t>2.0</w:t>
            </w:r>
          </w:p>
        </w:tc>
        <w:tc>
          <w:tcPr>
            <w:tcW w:type="dxa" w:w="1801"/>
          </w:tcPr>
          <w:p>
            <w:pPr>
              <w:spacing w:after="0"/>
              <w:jc w:val="right"/>
            </w:pPr>
            <w:r>
              <w:rPr>
                <w:sz w:val="17"/>
              </w:rPr>
              <w:t>4.8</w:t>
            </w:r>
          </w:p>
        </w:tc>
        <w:tc>
          <w:tcPr>
            <w:tcW w:type="dxa" w:w="1801"/>
          </w:tcPr>
          <w:p>
            <w:pPr>
              <w:spacing w:after="0"/>
              <w:jc w:val="right"/>
            </w:pPr>
            <w:r>
              <w:rPr>
                <w:sz w:val="17"/>
              </w:rPr>
              <w:t>4.5</w:t>
            </w:r>
          </w:p>
        </w:tc>
      </w:tr>
      <w:tr>
        <w:tc>
          <w:tcPr>
            <w:tcW w:type="dxa" w:w="4104"/>
          </w:tcPr>
          <w:p>
            <w:pPr>
              <w:spacing w:after="0"/>
            </w:pPr>
            <w:r>
              <w:rPr>
                <w:sz w:val="17"/>
              </w:rPr>
              <w:t>Other assets</w:t>
            </w:r>
          </w:p>
        </w:tc>
        <w:tc>
          <w:tcPr>
            <w:tcW w:type="dxa" w:w="1655"/>
          </w:tcPr>
          <w:p>
            <w:pPr>
              <w:spacing w:after="0"/>
              <w:jc w:val="right"/>
            </w:pPr>
            <w:r>
              <w:rPr>
                <w:sz w:val="17"/>
              </w:rPr>
              <w:t>1.2</w:t>
            </w:r>
          </w:p>
        </w:tc>
        <w:tc>
          <w:tcPr>
            <w:tcW w:type="dxa" w:w="1801"/>
          </w:tcPr>
          <w:p>
            <w:pPr>
              <w:spacing w:after="0"/>
              <w:jc w:val="right"/>
            </w:pPr>
            <w:r>
              <w:rPr>
                <w:sz w:val="17"/>
              </w:rPr>
              <w:t>44.8</w:t>
            </w:r>
          </w:p>
        </w:tc>
        <w:tc>
          <w:tcPr>
            <w:tcW w:type="dxa" w:w="1801"/>
          </w:tcPr>
          <w:p>
            <w:pPr>
              <w:spacing w:after="0"/>
              <w:jc w:val="right"/>
            </w:pPr>
            <w:r>
              <w:rPr>
                <w:sz w:val="17"/>
              </w:rPr>
              <w:t>1.1</w:t>
            </w:r>
          </w:p>
        </w:tc>
      </w:tr>
      <w:tr>
        <w:tc>
          <w:tcPr>
            <w:tcW w:type="dxa" w:w="4104"/>
          </w:tcPr>
          <w:p>
            <w:pPr>
              <w:spacing w:after="0"/>
            </w:pPr>
            <w:r>
              <w:rPr>
                <w:b/>
                <w:sz w:val="17"/>
              </w:rPr>
              <w:t>Total assets</w:t>
            </w:r>
          </w:p>
        </w:tc>
        <w:tc>
          <w:tcPr>
            <w:tcW w:type="dxa" w:w="1655"/>
          </w:tcPr>
          <w:p>
            <w:pPr>
              <w:spacing w:after="0"/>
              <w:jc w:val="right"/>
            </w:pPr>
            <w:r>
              <w:rPr>
                <w:sz w:val="17"/>
              </w:rPr>
              <w:t>728.0</w:t>
            </w:r>
          </w:p>
        </w:tc>
        <w:tc>
          <w:tcPr>
            <w:tcW w:type="dxa" w:w="1801"/>
          </w:tcPr>
          <w:p>
            <w:pPr>
              <w:spacing w:after="0"/>
              <w:jc w:val="right"/>
            </w:pPr>
            <w:r>
              <w:rPr>
                <w:sz w:val="17"/>
              </w:rPr>
              <w:t>819.4</w:t>
            </w:r>
          </w:p>
        </w:tc>
        <w:tc>
          <w:tcPr>
            <w:tcW w:type="dxa" w:w="1801"/>
          </w:tcPr>
          <w:p>
            <w:pPr>
              <w:spacing w:after="0"/>
              <w:jc w:val="right"/>
            </w:pPr>
            <w:r>
              <w:rPr>
                <w:sz w:val="17"/>
              </w:rPr>
              <w:t>860.7</w:t>
            </w:r>
          </w:p>
        </w:tc>
      </w:tr>
      <w:tr>
        <w:tc>
          <w:tcPr>
            <w:tcW w:type="dxa" w:w="4104"/>
          </w:tcPr>
          <w:p>
            <w:pPr>
              <w:spacing w:after="0"/>
            </w:pPr>
            <w:r>
              <w:rPr>
                <w:sz w:val="17"/>
              </w:rPr>
              <w:t>Payable for short-term investments purchased</w:t>
            </w:r>
          </w:p>
        </w:tc>
        <w:tc>
          <w:tcPr>
            <w:tcW w:type="dxa" w:w="1655"/>
          </w:tcPr>
          <w:p>
            <w:pPr>
              <w:spacing w:after="0"/>
              <w:jc w:val="right"/>
            </w:pPr>
            <w:r>
              <w:rPr>
                <w:sz w:val="17"/>
              </w:rPr>
              <w:t>380.6</w:t>
            </w:r>
          </w:p>
        </w:tc>
        <w:tc>
          <w:tcPr>
            <w:tcW w:type="dxa" w:w="1801"/>
          </w:tcPr>
          <w:p>
            <w:pPr>
              <w:spacing w:after="0"/>
              <w:jc w:val="right"/>
            </w:pPr>
            <w:r>
              <w:rPr>
                <w:sz w:val="17"/>
              </w:rPr>
              <w:t>380.5</w:t>
            </w:r>
          </w:p>
        </w:tc>
        <w:tc>
          <w:tcPr>
            <w:tcW w:type="dxa" w:w="1801"/>
          </w:tcPr>
          <w:p>
            <w:pPr>
              <w:spacing w:after="0"/>
              <w:jc w:val="right"/>
            </w:pPr>
            <w:r>
              <w:rPr>
                <w:sz w:val="17"/>
              </w:rPr>
              <w:t>345.7</w:t>
            </w:r>
          </w:p>
        </w:tc>
      </w:tr>
      <w:tr>
        <w:tc>
          <w:tcPr>
            <w:tcW w:type="dxa" w:w="4104"/>
          </w:tcPr>
          <w:p>
            <w:pPr>
              <w:spacing w:after="0"/>
            </w:pPr>
            <w:r>
              <w:rPr>
                <w:sz w:val="17"/>
              </w:rPr>
              <w:t>Revolving credit facilities payable</w:t>
            </w:r>
          </w:p>
        </w:tc>
        <w:tc>
          <w:tcPr>
            <w:tcW w:type="dxa" w:w="1655"/>
          </w:tcPr>
          <w:p>
            <w:pPr>
              <w:spacing w:after="0"/>
              <w:jc w:val="right"/>
            </w:pPr>
            <w:r>
              <w:rPr>
                <w:sz w:val="17"/>
              </w:rPr>
              <w:t>223.8</w:t>
            </w:r>
          </w:p>
        </w:tc>
        <w:tc>
          <w:tcPr>
            <w:tcW w:type="dxa" w:w="1801"/>
          </w:tcPr>
          <w:p>
            <w:pPr>
              <w:spacing w:after="0"/>
              <w:jc w:val="right"/>
            </w:pPr>
            <w:r>
              <w:rPr>
                <w:sz w:val="17"/>
              </w:rPr>
              <w:t>88.1</w:t>
            </w:r>
          </w:p>
        </w:tc>
        <w:tc>
          <w:tcPr>
            <w:tcW w:type="dxa" w:w="1801"/>
          </w:tcPr>
          <w:p>
            <w:pPr>
              <w:spacing w:after="0"/>
              <w:jc w:val="right"/>
            </w:pPr>
            <w:r>
              <w:rPr>
                <w:sz w:val="17"/>
              </w:rPr>
              <w:t>130.2</w:t>
            </w:r>
          </w:p>
        </w:tc>
      </w:tr>
      <w:tr>
        <w:tc>
          <w:tcPr>
            <w:tcW w:type="dxa" w:w="4104"/>
          </w:tcPr>
          <w:p>
            <w:pPr>
              <w:spacing w:after="0"/>
            </w:pPr>
            <w:r>
              <w:rPr>
                <w:sz w:val="17"/>
              </w:rPr>
              <w:t>Term loan, net of financing costs</w:t>
            </w:r>
          </w:p>
        </w:tc>
        <w:tc>
          <w:tcPr>
            <w:tcW w:type="dxa" w:w="1655"/>
          </w:tcPr>
          <w:p>
            <w:pPr>
              <w:spacing w:after="0"/>
              <w:jc w:val="right"/>
            </w:pPr>
            <w:r>
              <w:rPr>
                <w:sz w:val="17"/>
              </w:rPr>
              <w:t>0.0</w:t>
            </w:r>
          </w:p>
        </w:tc>
        <w:tc>
          <w:tcPr>
            <w:tcW w:type="dxa" w:w="1801"/>
          </w:tcPr>
          <w:p>
            <w:pPr>
              <w:spacing w:after="0"/>
              <w:jc w:val="right"/>
            </w:pPr>
            <w:r>
              <w:rPr>
                <w:sz w:val="17"/>
              </w:rPr>
              <w:t>100.1</w:t>
            </w:r>
          </w:p>
        </w:tc>
        <w:tc>
          <w:tcPr>
            <w:tcW w:type="dxa" w:w="1801"/>
          </w:tcPr>
          <w:p>
            <w:pPr>
              <w:spacing w:after="0"/>
              <w:jc w:val="right"/>
            </w:pPr>
            <w:r>
              <w:rPr>
                <w:sz w:val="17"/>
              </w:rPr>
              <w:t>100.2</w:t>
            </w:r>
          </w:p>
        </w:tc>
      </w:tr>
      <w:tr>
        <w:tc>
          <w:tcPr>
            <w:tcW w:type="dxa" w:w="4104"/>
          </w:tcPr>
          <w:p>
            <w:pPr>
              <w:spacing w:after="0"/>
            </w:pPr>
            <w:r>
              <w:rPr>
                <w:sz w:val="17"/>
              </w:rPr>
              <w:t>Other liabilities</w:t>
            </w:r>
          </w:p>
        </w:tc>
        <w:tc>
          <w:tcPr>
            <w:tcW w:type="dxa" w:w="1655"/>
          </w:tcPr>
          <w:p>
            <w:pPr>
              <w:spacing w:after="0"/>
              <w:jc w:val="right"/>
            </w:pPr>
            <w:r>
              <w:rPr>
                <w:sz w:val="17"/>
              </w:rPr>
              <w:t>4.9</w:t>
            </w:r>
          </w:p>
        </w:tc>
        <w:tc>
          <w:tcPr>
            <w:tcW w:type="dxa" w:w="1801"/>
          </w:tcPr>
          <w:p>
            <w:pPr>
              <w:spacing w:after="0"/>
              <w:jc w:val="right"/>
            </w:pPr>
            <w:r>
              <w:rPr>
                <w:sz w:val="17"/>
              </w:rPr>
              <w:t>6.8</w:t>
            </w:r>
          </w:p>
        </w:tc>
        <w:tc>
          <w:tcPr>
            <w:tcW w:type="dxa" w:w="1801"/>
          </w:tcPr>
          <w:p>
            <w:pPr>
              <w:spacing w:after="0"/>
              <w:jc w:val="right"/>
            </w:pPr>
            <w:r>
              <w:rPr>
                <w:sz w:val="17"/>
              </w:rPr>
              <w:t>5.1</w:t>
            </w:r>
          </w:p>
        </w:tc>
      </w:tr>
      <w:tr>
        <w:tc>
          <w:tcPr>
            <w:tcW w:type="dxa" w:w="4104"/>
          </w:tcPr>
          <w:p>
            <w:pPr>
              <w:spacing w:after="0"/>
            </w:pPr>
            <w:r>
              <w:rPr>
                <w:b/>
                <w:sz w:val="17"/>
              </w:rPr>
              <w:t>Total liabilities</w:t>
            </w:r>
          </w:p>
        </w:tc>
        <w:tc>
          <w:tcPr>
            <w:tcW w:type="dxa" w:w="1655"/>
          </w:tcPr>
          <w:p>
            <w:pPr>
              <w:spacing w:after="0"/>
              <w:jc w:val="right"/>
            </w:pPr>
            <w:r>
              <w:rPr>
                <w:sz w:val="17"/>
              </w:rPr>
              <w:t>609.3</w:t>
            </w:r>
          </w:p>
        </w:tc>
        <w:tc>
          <w:tcPr>
            <w:tcW w:type="dxa" w:w="1801"/>
          </w:tcPr>
          <w:p>
            <w:pPr>
              <w:spacing w:after="0"/>
              <w:jc w:val="right"/>
            </w:pPr>
            <w:r>
              <w:rPr>
                <w:sz w:val="17"/>
              </w:rPr>
              <w:t>575.4</w:t>
            </w:r>
          </w:p>
        </w:tc>
        <w:tc>
          <w:tcPr>
            <w:tcW w:type="dxa" w:w="1801"/>
          </w:tcPr>
          <w:p>
            <w:pPr>
              <w:spacing w:after="0"/>
              <w:jc w:val="right"/>
            </w:pPr>
            <w:r>
              <w:rPr>
                <w:sz w:val="17"/>
              </w:rPr>
              <w:t>581.1</w:t>
            </w:r>
          </w:p>
        </w:tc>
      </w:tr>
      <w:tr>
        <w:tc>
          <w:tcPr>
            <w:tcW w:type="dxa" w:w="4104"/>
          </w:tcPr>
          <w:p>
            <w:pPr>
              <w:spacing w:after="0"/>
            </w:pPr>
            <w:r>
              <w:rPr>
                <w:b/>
                <w:sz w:val="17"/>
              </w:rPr>
              <w:t>Net assets</w:t>
            </w:r>
          </w:p>
        </w:tc>
        <w:tc>
          <w:tcPr>
            <w:tcW w:type="dxa" w:w="1655"/>
          </w:tcPr>
          <w:p>
            <w:pPr>
              <w:spacing w:after="0"/>
              <w:jc w:val="right"/>
            </w:pPr>
            <w:r>
              <w:rPr>
                <w:sz w:val="17"/>
              </w:rPr>
              <w:t>118.7</w:t>
            </w:r>
          </w:p>
        </w:tc>
        <w:tc>
          <w:tcPr>
            <w:tcW w:type="dxa" w:w="1801"/>
          </w:tcPr>
          <w:p>
            <w:pPr>
              <w:spacing w:after="0"/>
              <w:jc w:val="right"/>
            </w:pPr>
            <w:r>
              <w:rPr>
                <w:sz w:val="17"/>
              </w:rPr>
              <w:t>244.0</w:t>
            </w:r>
          </w:p>
        </w:tc>
        <w:tc>
          <w:tcPr>
            <w:tcW w:type="dxa" w:w="1801"/>
          </w:tcPr>
          <w:p>
            <w:pPr>
              <w:spacing w:after="0"/>
              <w:jc w:val="right"/>
            </w:pPr>
            <w:r>
              <w:rPr>
                <w:sz w:val="17"/>
              </w:rPr>
              <w:t>279.5</w:t>
            </w:r>
          </w:p>
        </w:tc>
      </w:tr>
      <w:tr>
        <w:tc>
          <w:tcPr>
            <w:tcW w:type="dxa" w:w="4104"/>
          </w:tcPr>
          <w:p>
            <w:pPr>
              <w:spacing w:after="0"/>
            </w:pPr>
            <w:r>
              <w:rPr>
                <w:sz w:val="17"/>
              </w:rPr>
              <w:t>Memo: investments at amortized cost</w:t>
            </w:r>
          </w:p>
        </w:tc>
        <w:tc>
          <w:tcPr>
            <w:tcW w:type="dxa" w:w="1655"/>
          </w:tcPr>
          <w:p>
            <w:pPr>
              <w:spacing w:after="0"/>
              <w:jc w:val="right"/>
            </w:pPr>
            <w:r>
              <w:rPr>
                <w:sz w:val="17"/>
              </w:rPr>
              <w:t>338.5</w:t>
            </w:r>
          </w:p>
        </w:tc>
        <w:tc>
          <w:tcPr>
            <w:tcW w:type="dxa" w:w="1801"/>
          </w:tcPr>
          <w:p>
            <w:pPr>
              <w:spacing w:after="0"/>
              <w:jc w:val="right"/>
            </w:pPr>
            <w:r>
              <w:rPr>
                <w:sz w:val="17"/>
              </w:rPr>
              <w:t>378.4</w:t>
            </w:r>
          </w:p>
        </w:tc>
        <w:tc>
          <w:tcPr>
            <w:tcW w:type="dxa" w:w="1801"/>
          </w:tcPr>
          <w:p>
            <w:pPr>
              <w:spacing w:after="0"/>
              <w:jc w:val="right"/>
            </w:pPr>
            <w:r>
              <w:rPr>
                <w:sz w:val="17"/>
              </w:rPr>
              <w:t>458.2</w:t>
            </w:r>
          </w:p>
        </w:tc>
      </w:tr>
      <w:tr>
        <w:tc>
          <w:tcPr>
            <w:tcW w:type="dxa" w:w="4104"/>
          </w:tcPr>
          <w:p>
            <w:pPr>
              <w:spacing w:after="0"/>
            </w:pPr>
            <w:r>
              <w:rPr>
                <w:sz w:val="17"/>
              </w:rPr>
              <w:t>Net asset value per share ($)</w:t>
            </w:r>
          </w:p>
        </w:tc>
        <w:tc>
          <w:tcPr>
            <w:tcW w:type="dxa" w:w="1655"/>
          </w:tcPr>
          <w:p>
            <w:pPr>
              <w:spacing w:after="0"/>
              <w:jc w:val="right"/>
            </w:pPr>
            <w:r>
              <w:rPr>
                <w:sz w:val="17"/>
              </w:rPr>
              <w:t>19.74</w:t>
            </w:r>
          </w:p>
        </w:tc>
        <w:tc>
          <w:tcPr>
            <w:tcW w:type="dxa" w:w="1801"/>
          </w:tcPr>
          <w:p>
            <w:pPr>
              <w:spacing w:after="0"/>
              <w:jc w:val="right"/>
            </w:pPr>
            <w:r>
              <w:rPr>
                <w:sz w:val="17"/>
              </w:rPr>
              <w:t>20.18</w:t>
            </w:r>
          </w:p>
        </w:tc>
        <w:tc>
          <w:tcPr>
            <w:tcW w:type="dxa" w:w="1801"/>
          </w:tcPr>
          <w:p>
            <w:pPr>
              <w:spacing w:after="0"/>
              <w:jc w:val="right"/>
            </w:pPr>
            <w:r>
              <w:rPr>
                <w:sz w:val="17"/>
              </w:rPr>
              <w:t>19.96</w:t>
            </w:r>
          </w:p>
        </w:tc>
      </w:tr>
      <w:tr>
        <w:tc>
          <w:tcPr>
            <w:tcW w:type="dxa" w:w="4104"/>
          </w:tcPr>
          <w:p>
            <w:pPr>
              <w:spacing w:after="0"/>
            </w:pPr>
            <w:r>
              <w:rPr>
                <w:sz w:val="17"/>
              </w:rPr>
              <w:t>Shares outstanding</w:t>
            </w:r>
          </w:p>
        </w:tc>
        <w:tc>
          <w:tcPr>
            <w:tcW w:type="dxa" w:w="1655"/>
          </w:tcPr>
          <w:p>
            <w:pPr>
              <w:spacing w:after="0"/>
              <w:jc w:val="right"/>
            </w:pPr>
            <w:r>
              <w:rPr>
                <w:sz w:val="17"/>
              </w:rPr>
              <w:t>6,014,515</w:t>
            </w:r>
          </w:p>
        </w:tc>
        <w:tc>
          <w:tcPr>
            <w:tcW w:type="dxa" w:w="1801"/>
          </w:tcPr>
          <w:p>
            <w:pPr>
              <w:spacing w:after="0"/>
              <w:jc w:val="right"/>
            </w:pPr>
            <w:r>
              <w:rPr>
                <w:sz w:val="17"/>
              </w:rPr>
              <w:t>12,093,674</w:t>
            </w:r>
          </w:p>
        </w:tc>
        <w:tc>
          <w:tcPr>
            <w:tcW w:type="dxa" w:w="1801"/>
          </w:tcPr>
          <w:p>
            <w:pPr>
              <w:spacing w:after="0"/>
              <w:jc w:val="right"/>
            </w:pPr>
            <w:r>
              <w:rPr>
                <w:sz w:val="17"/>
              </w:rPr>
              <w:t>14,006,125</w:t>
            </w:r>
          </w:p>
        </w:tc>
      </w:tr>
      <w:tr>
        <w:tc>
          <w:tcPr>
            <w:tcW w:type="dxa" w:w="4104"/>
          </w:tcPr>
          <w:p>
            <w:pPr>
              <w:spacing w:after="0"/>
            </w:pPr>
            <w:r>
              <w:rPr>
                <w:sz w:val="17"/>
              </w:rPr>
              <w:t>Asset coverage ratio, as reported</w:t>
            </w:r>
          </w:p>
        </w:tc>
        <w:tc>
          <w:tcPr>
            <w:tcW w:type="dxa" w:w="1655"/>
          </w:tcPr>
          <w:p>
            <w:pPr>
              <w:spacing w:after="0"/>
              <w:jc w:val="right"/>
            </w:pPr>
            <w:r>
              <w:rPr>
                <w:sz w:val="17"/>
              </w:rPr>
              <w:t>1.53x</w:t>
            </w:r>
          </w:p>
        </w:tc>
        <w:tc>
          <w:tcPr>
            <w:tcW w:type="dxa" w:w="1801"/>
          </w:tcPr>
          <w:p>
            <w:pPr>
              <w:spacing w:after="0"/>
              <w:jc w:val="right"/>
            </w:pPr>
            <w:r>
              <w:rPr>
                <w:sz w:val="17"/>
              </w:rPr>
              <w:t>2.26x</w:t>
            </w:r>
          </w:p>
        </w:tc>
        <w:tc>
          <w:tcPr>
            <w:tcW w:type="dxa" w:w="1801"/>
          </w:tcPr>
          <w:p>
            <w:pPr>
              <w:spacing w:after="0"/>
              <w:jc w:val="right"/>
            </w:pPr>
            <w:r>
              <w:rPr>
                <w:sz w:val="17"/>
              </w:rPr>
              <w:t>2.19x</w:t>
            </w:r>
          </w:p>
        </w:tc>
      </w:tr>
    </w:tbl>
    <w:p>
      <w:pPr>
        <w:spacing w:after="40"/>
      </w:pPr>
    </w:p>
    <w:p>
      <w:r>
        <w:rPr>
          <w:i/>
          <w:color w:val="5B6475"/>
          <w:sz w:val="16"/>
        </w:rPr>
        <w:t>Source: Form 10-K FY2025 and Forms 10-Q Q1-2026 and Q2-2026, Consolidated Statements of Assets and Liabilities and Financial Highlights. The Treasury bills bought at each quarter-end are matched by an equal payable.</w:t>
      </w:r>
    </w:p>
    <w:p>
      <w:pPr>
        <w:spacing w:after="80"/>
      </w:pPr>
      <w:r>
        <w:rPr>
          <w:b/>
        </w:rPr>
        <w:t>Exhibit 1B: Statement of operations</w:t>
      </w:r>
    </w:p>
    <w:p>
      <w:r>
        <w:rPr>
          <w:i/>
          <w:color w:val="5B6475"/>
          <w:sz w:val="16"/>
        </w:rPr>
        <w:t>Units: $ in millions. FY2025 runs from inception on Feb 5 to Dec 31, 2025. H2-25 = FY2025 − 6M Jun-25 (derived; no Q3-25 10-Q was filed). LTM Jun-26 = FY2025 + 6M Jun-26 − 6M Jun-25.</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2021"/>
        <w:gridCol w:w="815"/>
        <w:gridCol w:w="815"/>
        <w:gridCol w:w="815"/>
        <w:gridCol w:w="815"/>
        <w:gridCol w:w="815"/>
        <w:gridCol w:w="815"/>
        <w:gridCol w:w="815"/>
        <w:gridCol w:w="815"/>
        <w:gridCol w:w="815"/>
      </w:tblGrid>
      <w:tr>
        <w:tc>
          <w:tcPr>
            <w:tcW w:type="dxa" w:w="2022"/>
            <w:shd w:val="clear" w:color="auto" w:fill="E4EAF3"/>
          </w:tcPr>
          <w:p>
            <w:pPr>
              <w:spacing w:after="0"/>
            </w:pPr>
            <w:r>
              <w:rPr>
                <w:b/>
                <w:color w:val="121826"/>
                <w:sz w:val="14"/>
              </w:rPr>
              <w:t>$ in millions</w:t>
            </w:r>
          </w:p>
        </w:tc>
        <w:tc>
          <w:tcPr>
            <w:tcW w:type="dxa" w:w="815"/>
            <w:shd w:val="clear" w:color="auto" w:fill="E4EAF3"/>
          </w:tcPr>
          <w:p>
            <w:pPr>
              <w:spacing w:after="0"/>
            </w:pPr>
            <w:r>
              <w:rPr>
                <w:b/>
                <w:color w:val="121826"/>
                <w:sz w:val="14"/>
              </w:rPr>
              <w:t>Q1-25A</w:t>
            </w:r>
          </w:p>
        </w:tc>
        <w:tc>
          <w:tcPr>
            <w:tcW w:type="dxa" w:w="815"/>
            <w:shd w:val="clear" w:color="auto" w:fill="E4EAF3"/>
          </w:tcPr>
          <w:p>
            <w:pPr>
              <w:spacing w:after="0"/>
            </w:pPr>
            <w:r>
              <w:rPr>
                <w:b/>
                <w:color w:val="121826"/>
                <w:sz w:val="14"/>
              </w:rPr>
              <w:t>Q2-25A</w:t>
            </w:r>
          </w:p>
        </w:tc>
        <w:tc>
          <w:tcPr>
            <w:tcW w:type="dxa" w:w="815"/>
            <w:shd w:val="clear" w:color="auto" w:fill="E4EAF3"/>
          </w:tcPr>
          <w:p>
            <w:pPr>
              <w:spacing w:after="0"/>
            </w:pPr>
            <w:r>
              <w:rPr>
                <w:b/>
                <w:color w:val="121826"/>
                <w:sz w:val="14"/>
              </w:rPr>
              <w:t>6M Jun-25A</w:t>
            </w:r>
          </w:p>
        </w:tc>
        <w:tc>
          <w:tcPr>
            <w:tcW w:type="dxa" w:w="815"/>
            <w:shd w:val="clear" w:color="auto" w:fill="E4EAF3"/>
          </w:tcPr>
          <w:p>
            <w:pPr>
              <w:spacing w:after="0"/>
            </w:pPr>
            <w:r>
              <w:rPr>
                <w:b/>
                <w:color w:val="121826"/>
                <w:sz w:val="14"/>
              </w:rPr>
              <w:t>H2-25 (derived)</w:t>
            </w:r>
          </w:p>
        </w:tc>
        <w:tc>
          <w:tcPr>
            <w:tcW w:type="dxa" w:w="815"/>
            <w:shd w:val="clear" w:color="auto" w:fill="E4EAF3"/>
          </w:tcPr>
          <w:p>
            <w:pPr>
              <w:spacing w:after="0"/>
            </w:pPr>
            <w:r>
              <w:rPr>
                <w:b/>
                <w:color w:val="121826"/>
                <w:sz w:val="14"/>
              </w:rPr>
              <w:t>FY2025A</w:t>
            </w:r>
          </w:p>
        </w:tc>
        <w:tc>
          <w:tcPr>
            <w:tcW w:type="dxa" w:w="815"/>
            <w:shd w:val="clear" w:color="auto" w:fill="E4EAF3"/>
          </w:tcPr>
          <w:p>
            <w:pPr>
              <w:spacing w:after="0"/>
            </w:pPr>
            <w:r>
              <w:rPr>
                <w:b/>
                <w:color w:val="121826"/>
                <w:sz w:val="14"/>
              </w:rPr>
              <w:t>Q1-26A</w:t>
            </w:r>
          </w:p>
        </w:tc>
        <w:tc>
          <w:tcPr>
            <w:tcW w:type="dxa" w:w="815"/>
            <w:shd w:val="clear" w:color="auto" w:fill="E4EAF3"/>
          </w:tcPr>
          <w:p>
            <w:pPr>
              <w:spacing w:after="0"/>
            </w:pPr>
            <w:r>
              <w:rPr>
                <w:b/>
                <w:color w:val="121826"/>
                <w:sz w:val="14"/>
              </w:rPr>
              <w:t>Q2-26A</w:t>
            </w:r>
          </w:p>
        </w:tc>
        <w:tc>
          <w:tcPr>
            <w:tcW w:type="dxa" w:w="815"/>
            <w:shd w:val="clear" w:color="auto" w:fill="E4EAF3"/>
          </w:tcPr>
          <w:p>
            <w:pPr>
              <w:spacing w:after="0"/>
            </w:pPr>
            <w:r>
              <w:rPr>
                <w:b/>
                <w:color w:val="121826"/>
                <w:sz w:val="14"/>
              </w:rPr>
              <w:t>6M Jun-26A</w:t>
            </w:r>
          </w:p>
        </w:tc>
        <w:tc>
          <w:tcPr>
            <w:tcW w:type="dxa" w:w="815"/>
            <w:shd w:val="clear" w:color="auto" w:fill="E4EAF3"/>
          </w:tcPr>
          <w:p>
            <w:pPr>
              <w:spacing w:after="0"/>
            </w:pPr>
            <w:r>
              <w:rPr>
                <w:b/>
                <w:color w:val="121826"/>
                <w:sz w:val="14"/>
              </w:rPr>
              <w:t>LTM Jun-26</w:t>
            </w:r>
          </w:p>
        </w:tc>
      </w:tr>
      <w:tr>
        <w:tc>
          <w:tcPr>
            <w:tcW w:type="dxa" w:w="2022"/>
          </w:tcPr>
          <w:p>
            <w:pPr>
              <w:spacing w:after="0"/>
            </w:pPr>
            <w:r>
              <w:rPr>
                <w:sz w:val="14"/>
              </w:rPr>
              <w:t>Total investment income</w:t>
            </w:r>
          </w:p>
        </w:tc>
        <w:tc>
          <w:tcPr>
            <w:tcW w:type="dxa" w:w="815"/>
          </w:tcPr>
          <w:p>
            <w:pPr>
              <w:spacing w:after="0"/>
              <w:jc w:val="right"/>
            </w:pPr>
            <w:r>
              <w:rPr>
                <w:sz w:val="14"/>
              </w:rPr>
              <w:t>0.0</w:t>
            </w:r>
          </w:p>
        </w:tc>
        <w:tc>
          <w:tcPr>
            <w:tcW w:type="dxa" w:w="815"/>
          </w:tcPr>
          <w:p>
            <w:pPr>
              <w:spacing w:after="0"/>
              <w:jc w:val="right"/>
            </w:pPr>
            <w:r>
              <w:rPr>
                <w:sz w:val="14"/>
              </w:rPr>
              <w:t>0.5</w:t>
            </w:r>
          </w:p>
        </w:tc>
        <w:tc>
          <w:tcPr>
            <w:tcW w:type="dxa" w:w="815"/>
          </w:tcPr>
          <w:p>
            <w:pPr>
              <w:spacing w:after="0"/>
              <w:jc w:val="right"/>
            </w:pPr>
            <w:r>
              <w:rPr>
                <w:sz w:val="14"/>
              </w:rPr>
              <w:t>0.5</w:t>
            </w:r>
          </w:p>
        </w:tc>
        <w:tc>
          <w:tcPr>
            <w:tcW w:type="dxa" w:w="815"/>
          </w:tcPr>
          <w:p>
            <w:pPr>
              <w:spacing w:after="0"/>
              <w:jc w:val="right"/>
            </w:pPr>
            <w:r>
              <w:rPr>
                <w:sz w:val="14"/>
              </w:rPr>
              <w:t>7.9</w:t>
            </w:r>
          </w:p>
        </w:tc>
        <w:tc>
          <w:tcPr>
            <w:tcW w:type="dxa" w:w="815"/>
          </w:tcPr>
          <w:p>
            <w:pPr>
              <w:spacing w:after="0"/>
              <w:jc w:val="right"/>
            </w:pPr>
            <w:r>
              <w:rPr>
                <w:sz w:val="14"/>
              </w:rPr>
              <w:t>8.4</w:t>
            </w:r>
          </w:p>
        </w:tc>
        <w:tc>
          <w:tcPr>
            <w:tcW w:type="dxa" w:w="815"/>
          </w:tcPr>
          <w:p>
            <w:pPr>
              <w:spacing w:after="0"/>
              <w:jc w:val="right"/>
            </w:pPr>
            <w:r>
              <w:rPr>
                <w:sz w:val="14"/>
              </w:rPr>
              <w:t>8.6</w:t>
            </w:r>
          </w:p>
        </w:tc>
        <w:tc>
          <w:tcPr>
            <w:tcW w:type="dxa" w:w="815"/>
          </w:tcPr>
          <w:p>
            <w:pPr>
              <w:spacing w:after="0"/>
              <w:jc w:val="right"/>
            </w:pPr>
            <w:r>
              <w:rPr>
                <w:sz w:val="14"/>
              </w:rPr>
              <w:t>10.3</w:t>
            </w:r>
          </w:p>
        </w:tc>
        <w:tc>
          <w:tcPr>
            <w:tcW w:type="dxa" w:w="815"/>
          </w:tcPr>
          <w:p>
            <w:pPr>
              <w:spacing w:after="0"/>
              <w:jc w:val="right"/>
            </w:pPr>
            <w:r>
              <w:rPr>
                <w:sz w:val="14"/>
              </w:rPr>
              <w:t>18.9</w:t>
            </w:r>
          </w:p>
        </w:tc>
        <w:tc>
          <w:tcPr>
            <w:tcW w:type="dxa" w:w="815"/>
          </w:tcPr>
          <w:p>
            <w:pPr>
              <w:spacing w:after="0"/>
              <w:jc w:val="right"/>
            </w:pPr>
            <w:r>
              <w:rPr>
                <w:sz w:val="14"/>
              </w:rPr>
              <w:t>26.8</w:t>
            </w:r>
          </w:p>
        </w:tc>
      </w:tr>
      <w:tr>
        <w:tc>
          <w:tcPr>
            <w:tcW w:type="dxa" w:w="2022"/>
          </w:tcPr>
          <w:p>
            <w:pPr>
              <w:spacing w:after="0"/>
            </w:pPr>
            <w:r>
              <w:rPr>
                <w:sz w:val="14"/>
              </w:rPr>
              <w:t>Interest and credit facility expenses</w:t>
            </w:r>
          </w:p>
        </w:tc>
        <w:tc>
          <w:tcPr>
            <w:tcW w:type="dxa" w:w="815"/>
          </w:tcPr>
          <w:p>
            <w:pPr>
              <w:spacing w:after="0"/>
              <w:jc w:val="right"/>
            </w:pPr>
            <w:r>
              <w:rPr>
                <w:sz w:val="14"/>
              </w:rPr>
              <w:t>0.0</w:t>
            </w:r>
          </w:p>
        </w:tc>
        <w:tc>
          <w:tcPr>
            <w:tcW w:type="dxa" w:w="815"/>
          </w:tcPr>
          <w:p>
            <w:pPr>
              <w:spacing w:after="0"/>
              <w:jc w:val="right"/>
            </w:pPr>
            <w:r>
              <w:rPr>
                <w:sz w:val="14"/>
              </w:rPr>
              <w:t>0.5</w:t>
            </w:r>
          </w:p>
        </w:tc>
        <w:tc>
          <w:tcPr>
            <w:tcW w:type="dxa" w:w="815"/>
          </w:tcPr>
          <w:p>
            <w:pPr>
              <w:spacing w:after="0"/>
              <w:jc w:val="right"/>
            </w:pPr>
            <w:r>
              <w:rPr>
                <w:sz w:val="14"/>
              </w:rPr>
              <w:t>0.5</w:t>
            </w:r>
          </w:p>
        </w:tc>
        <w:tc>
          <w:tcPr>
            <w:tcW w:type="dxa" w:w="815"/>
          </w:tcPr>
          <w:p>
            <w:pPr>
              <w:spacing w:after="0"/>
              <w:jc w:val="right"/>
            </w:pPr>
            <w:r>
              <w:rPr>
                <w:sz w:val="14"/>
              </w:rPr>
              <w:t>3.5</w:t>
            </w:r>
          </w:p>
        </w:tc>
        <w:tc>
          <w:tcPr>
            <w:tcW w:type="dxa" w:w="815"/>
          </w:tcPr>
          <w:p>
            <w:pPr>
              <w:spacing w:after="0"/>
              <w:jc w:val="right"/>
            </w:pPr>
            <w:r>
              <w:rPr>
                <w:sz w:val="14"/>
              </w:rPr>
              <w:t>4.0</w:t>
            </w:r>
          </w:p>
        </w:tc>
        <w:tc>
          <w:tcPr>
            <w:tcW w:type="dxa" w:w="815"/>
          </w:tcPr>
          <w:p>
            <w:pPr>
              <w:spacing w:after="0"/>
              <w:jc w:val="right"/>
            </w:pPr>
            <w:r>
              <w:rPr>
                <w:sz w:val="14"/>
              </w:rPr>
              <w:t>3.3</w:t>
            </w:r>
          </w:p>
        </w:tc>
        <w:tc>
          <w:tcPr>
            <w:tcW w:type="dxa" w:w="815"/>
          </w:tcPr>
          <w:p>
            <w:pPr>
              <w:spacing w:after="0"/>
              <w:jc w:val="right"/>
            </w:pPr>
            <w:r>
              <w:rPr>
                <w:sz w:val="14"/>
              </w:rPr>
              <w:t>3.8</w:t>
            </w:r>
          </w:p>
        </w:tc>
        <w:tc>
          <w:tcPr>
            <w:tcW w:type="dxa" w:w="815"/>
          </w:tcPr>
          <w:p>
            <w:pPr>
              <w:spacing w:after="0"/>
              <w:jc w:val="right"/>
            </w:pPr>
            <w:r>
              <w:rPr>
                <w:sz w:val="14"/>
              </w:rPr>
              <w:t>7.0</w:t>
            </w:r>
          </w:p>
        </w:tc>
        <w:tc>
          <w:tcPr>
            <w:tcW w:type="dxa" w:w="815"/>
          </w:tcPr>
          <w:p>
            <w:pPr>
              <w:spacing w:after="0"/>
              <w:jc w:val="right"/>
            </w:pPr>
            <w:r>
              <w:rPr>
                <w:sz w:val="14"/>
              </w:rPr>
              <w:t>10.5</w:t>
            </w:r>
          </w:p>
        </w:tc>
      </w:tr>
      <w:tr>
        <w:tc>
          <w:tcPr>
            <w:tcW w:type="dxa" w:w="2022"/>
          </w:tcPr>
          <w:p>
            <w:pPr>
              <w:spacing w:after="0"/>
            </w:pPr>
            <w:r>
              <w:rPr>
                <w:sz w:val="14"/>
              </w:rPr>
              <w:t>Management and incentive fees</w:t>
            </w:r>
          </w:p>
        </w:tc>
        <w:tc>
          <w:tcPr>
            <w:tcW w:type="dxa" w:w="815"/>
          </w:tcPr>
          <w:p>
            <w:pPr>
              <w:spacing w:after="0"/>
              <w:jc w:val="right"/>
            </w:pPr>
            <w:r>
              <w:rPr>
                <w:sz w:val="14"/>
              </w:rPr>
              <w:t>0.0</w:t>
            </w:r>
          </w:p>
        </w:tc>
        <w:tc>
          <w:tcPr>
            <w:tcW w:type="dxa" w:w="815"/>
          </w:tcPr>
          <w:p>
            <w:pPr>
              <w:spacing w:after="0"/>
              <w:jc w:val="right"/>
            </w:pPr>
            <w:r>
              <w:rPr>
                <w:sz w:val="14"/>
              </w:rPr>
              <w:t>0.0</w:t>
            </w:r>
          </w:p>
        </w:tc>
        <w:tc>
          <w:tcPr>
            <w:tcW w:type="dxa" w:w="815"/>
          </w:tcPr>
          <w:p>
            <w:pPr>
              <w:spacing w:after="0"/>
              <w:jc w:val="right"/>
            </w:pPr>
            <w:r>
              <w:rPr>
                <w:sz w:val="14"/>
              </w:rPr>
              <w:t>0.0</w:t>
            </w:r>
          </w:p>
        </w:tc>
        <w:tc>
          <w:tcPr>
            <w:tcW w:type="dxa" w:w="815"/>
          </w:tcPr>
          <w:p>
            <w:pPr>
              <w:spacing w:after="0"/>
              <w:jc w:val="right"/>
            </w:pPr>
            <w:r>
              <w:rPr>
                <w:sz w:val="14"/>
              </w:rPr>
              <w:t>0.1</w:t>
            </w:r>
          </w:p>
        </w:tc>
        <w:tc>
          <w:tcPr>
            <w:tcW w:type="dxa" w:w="815"/>
          </w:tcPr>
          <w:p>
            <w:pPr>
              <w:spacing w:after="0"/>
              <w:jc w:val="right"/>
            </w:pPr>
            <w:r>
              <w:rPr>
                <w:sz w:val="14"/>
              </w:rPr>
              <w:t>0.1</w:t>
            </w:r>
          </w:p>
        </w:tc>
        <w:tc>
          <w:tcPr>
            <w:tcW w:type="dxa" w:w="815"/>
          </w:tcPr>
          <w:p>
            <w:pPr>
              <w:spacing w:after="0"/>
              <w:jc w:val="right"/>
            </w:pPr>
            <w:r>
              <w:rPr>
                <w:sz w:val="14"/>
              </w:rPr>
              <w:t>0.9</w:t>
            </w:r>
          </w:p>
        </w:tc>
        <w:tc>
          <w:tcPr>
            <w:tcW w:type="dxa" w:w="815"/>
          </w:tcPr>
          <w:p>
            <w:pPr>
              <w:spacing w:after="0"/>
              <w:jc w:val="right"/>
            </w:pPr>
            <w:r>
              <w:rPr>
                <w:sz w:val="14"/>
              </w:rPr>
              <w:t>1.7</w:t>
            </w:r>
          </w:p>
        </w:tc>
        <w:tc>
          <w:tcPr>
            <w:tcW w:type="dxa" w:w="815"/>
          </w:tcPr>
          <w:p>
            <w:pPr>
              <w:spacing w:after="0"/>
              <w:jc w:val="right"/>
            </w:pPr>
            <w:r>
              <w:rPr>
                <w:sz w:val="14"/>
              </w:rPr>
              <w:t>2.6</w:t>
            </w:r>
          </w:p>
        </w:tc>
        <w:tc>
          <w:tcPr>
            <w:tcW w:type="dxa" w:w="815"/>
          </w:tcPr>
          <w:p>
            <w:pPr>
              <w:spacing w:after="0"/>
              <w:jc w:val="right"/>
            </w:pPr>
            <w:r>
              <w:rPr>
                <w:sz w:val="14"/>
              </w:rPr>
              <w:t>2.7</w:t>
            </w:r>
          </w:p>
        </w:tc>
      </w:tr>
      <w:tr>
        <w:tc>
          <w:tcPr>
            <w:tcW w:type="dxa" w:w="2022"/>
          </w:tcPr>
          <w:p>
            <w:pPr>
              <w:spacing w:after="0"/>
            </w:pPr>
            <w:r>
              <w:rPr>
                <w:sz w:val="14"/>
              </w:rPr>
              <w:t>Organizational costs</w:t>
            </w:r>
          </w:p>
        </w:tc>
        <w:tc>
          <w:tcPr>
            <w:tcW w:type="dxa" w:w="815"/>
          </w:tcPr>
          <w:p>
            <w:pPr>
              <w:spacing w:after="0"/>
              <w:jc w:val="right"/>
            </w:pPr>
            <w:r>
              <w:rPr>
                <w:sz w:val="14"/>
              </w:rPr>
              <w:t>0.8</w:t>
            </w:r>
          </w:p>
        </w:tc>
        <w:tc>
          <w:tcPr>
            <w:tcW w:type="dxa" w:w="815"/>
          </w:tcPr>
          <w:p>
            <w:pPr>
              <w:spacing w:after="0"/>
              <w:jc w:val="right"/>
            </w:pPr>
            <w:r>
              <w:rPr>
                <w:sz w:val="14"/>
              </w:rPr>
              <w:t>0.0</w:t>
            </w:r>
          </w:p>
        </w:tc>
        <w:tc>
          <w:tcPr>
            <w:tcW w:type="dxa" w:w="815"/>
          </w:tcPr>
          <w:p>
            <w:pPr>
              <w:spacing w:after="0"/>
              <w:jc w:val="right"/>
            </w:pPr>
            <w:r>
              <w:rPr>
                <w:sz w:val="14"/>
              </w:rPr>
              <w:t>0.9</w:t>
            </w:r>
          </w:p>
        </w:tc>
        <w:tc>
          <w:tcPr>
            <w:tcW w:type="dxa" w:w="815"/>
          </w:tcPr>
          <w:p>
            <w:pPr>
              <w:spacing w:after="0"/>
              <w:jc w:val="right"/>
            </w:pPr>
            <w:r>
              <w:rPr>
                <w:sz w:val="14"/>
              </w:rPr>
              <w:t>3.5</w:t>
            </w:r>
          </w:p>
        </w:tc>
        <w:tc>
          <w:tcPr>
            <w:tcW w:type="dxa" w:w="815"/>
          </w:tcPr>
          <w:p>
            <w:pPr>
              <w:spacing w:after="0"/>
              <w:jc w:val="right"/>
            </w:pPr>
            <w:r>
              <w:rPr>
                <w:sz w:val="14"/>
              </w:rPr>
              <w:t>4.4</w:t>
            </w:r>
          </w:p>
        </w:tc>
        <w:tc>
          <w:tcPr>
            <w:tcW w:type="dxa" w:w="815"/>
          </w:tcPr>
          <w:p>
            <w:pPr>
              <w:spacing w:after="0"/>
              <w:jc w:val="right"/>
            </w:pPr>
            <w:r>
              <w:rPr>
                <w:sz w:val="14"/>
              </w:rPr>
              <w:t>0.1</w:t>
            </w:r>
          </w:p>
        </w:tc>
        <w:tc>
          <w:tcPr>
            <w:tcW w:type="dxa" w:w="815"/>
          </w:tcPr>
          <w:p>
            <w:pPr>
              <w:spacing w:after="0"/>
              <w:jc w:val="right"/>
            </w:pPr>
            <w:r>
              <w:rPr>
                <w:sz w:val="14"/>
              </w:rPr>
              <w:t>0.3</w:t>
            </w:r>
          </w:p>
        </w:tc>
        <w:tc>
          <w:tcPr>
            <w:tcW w:type="dxa" w:w="815"/>
          </w:tcPr>
          <w:p>
            <w:pPr>
              <w:spacing w:after="0"/>
              <w:jc w:val="right"/>
            </w:pPr>
            <w:r>
              <w:rPr>
                <w:sz w:val="14"/>
              </w:rPr>
              <w:t>0.4</w:t>
            </w:r>
          </w:p>
        </w:tc>
        <w:tc>
          <w:tcPr>
            <w:tcW w:type="dxa" w:w="815"/>
          </w:tcPr>
          <w:p>
            <w:pPr>
              <w:spacing w:after="0"/>
              <w:jc w:val="right"/>
            </w:pPr>
            <w:r>
              <w:rPr>
                <w:sz w:val="14"/>
              </w:rPr>
              <w:t>3.9</w:t>
            </w:r>
          </w:p>
        </w:tc>
      </w:tr>
      <w:tr>
        <w:tc>
          <w:tcPr>
            <w:tcW w:type="dxa" w:w="2022"/>
          </w:tcPr>
          <w:p>
            <w:pPr>
              <w:spacing w:after="0"/>
            </w:pPr>
            <w:r>
              <w:rPr>
                <w:sz w:val="14"/>
              </w:rPr>
              <w:t>Other operating expenses</w:t>
            </w:r>
          </w:p>
        </w:tc>
        <w:tc>
          <w:tcPr>
            <w:tcW w:type="dxa" w:w="815"/>
          </w:tcPr>
          <w:p>
            <w:pPr>
              <w:spacing w:after="0"/>
              <w:jc w:val="right"/>
            </w:pPr>
            <w:r>
              <w:rPr>
                <w:sz w:val="14"/>
              </w:rPr>
              <w:t>0.0</w:t>
            </w:r>
          </w:p>
        </w:tc>
        <w:tc>
          <w:tcPr>
            <w:tcW w:type="dxa" w:w="815"/>
          </w:tcPr>
          <w:p>
            <w:pPr>
              <w:spacing w:after="0"/>
              <w:jc w:val="right"/>
            </w:pPr>
            <w:r>
              <w:rPr>
                <w:sz w:val="14"/>
              </w:rPr>
              <w:t>0.1</w:t>
            </w:r>
          </w:p>
        </w:tc>
        <w:tc>
          <w:tcPr>
            <w:tcW w:type="dxa" w:w="815"/>
          </w:tcPr>
          <w:p>
            <w:pPr>
              <w:spacing w:after="0"/>
              <w:jc w:val="right"/>
            </w:pPr>
            <w:r>
              <w:rPr>
                <w:sz w:val="14"/>
              </w:rPr>
              <w:t>0.1</w:t>
            </w:r>
          </w:p>
        </w:tc>
        <w:tc>
          <w:tcPr>
            <w:tcW w:type="dxa" w:w="815"/>
          </w:tcPr>
          <w:p>
            <w:pPr>
              <w:spacing w:after="0"/>
              <w:jc w:val="right"/>
            </w:pPr>
            <w:r>
              <w:rPr>
                <w:sz w:val="14"/>
              </w:rPr>
              <w:t>1.0</w:t>
            </w:r>
          </w:p>
        </w:tc>
        <w:tc>
          <w:tcPr>
            <w:tcW w:type="dxa" w:w="815"/>
          </w:tcPr>
          <w:p>
            <w:pPr>
              <w:spacing w:after="0"/>
              <w:jc w:val="right"/>
            </w:pPr>
            <w:r>
              <w:rPr>
                <w:sz w:val="14"/>
              </w:rPr>
              <w:t>1.0</w:t>
            </w:r>
          </w:p>
        </w:tc>
        <w:tc>
          <w:tcPr>
            <w:tcW w:type="dxa" w:w="815"/>
          </w:tcPr>
          <w:p>
            <w:pPr>
              <w:spacing w:after="0"/>
              <w:jc w:val="right"/>
            </w:pPr>
            <w:r>
              <w:rPr>
                <w:sz w:val="14"/>
              </w:rPr>
              <w:t>0.4</w:t>
            </w:r>
          </w:p>
        </w:tc>
        <w:tc>
          <w:tcPr>
            <w:tcW w:type="dxa" w:w="815"/>
          </w:tcPr>
          <w:p>
            <w:pPr>
              <w:spacing w:after="0"/>
              <w:jc w:val="right"/>
            </w:pPr>
            <w:r>
              <w:rPr>
                <w:sz w:val="14"/>
              </w:rPr>
              <w:t>0.6</w:t>
            </w:r>
          </w:p>
        </w:tc>
        <w:tc>
          <w:tcPr>
            <w:tcW w:type="dxa" w:w="815"/>
          </w:tcPr>
          <w:p>
            <w:pPr>
              <w:spacing w:after="0"/>
              <w:jc w:val="right"/>
            </w:pPr>
            <w:r>
              <w:rPr>
                <w:sz w:val="14"/>
              </w:rPr>
              <w:t>1.0</w:t>
            </w:r>
          </w:p>
        </w:tc>
        <w:tc>
          <w:tcPr>
            <w:tcW w:type="dxa" w:w="815"/>
          </w:tcPr>
          <w:p>
            <w:pPr>
              <w:spacing w:after="0"/>
              <w:jc w:val="right"/>
            </w:pPr>
            <w:r>
              <w:rPr>
                <w:sz w:val="14"/>
              </w:rPr>
              <w:t>1.9</w:t>
            </w:r>
          </w:p>
        </w:tc>
      </w:tr>
      <w:tr>
        <w:tc>
          <w:tcPr>
            <w:tcW w:type="dxa" w:w="2022"/>
          </w:tcPr>
          <w:p>
            <w:pPr>
              <w:spacing w:after="0"/>
            </w:pPr>
            <w:r>
              <w:rPr>
                <w:b/>
                <w:sz w:val="14"/>
              </w:rPr>
              <w:t>Total expenses</w:t>
            </w:r>
          </w:p>
        </w:tc>
        <w:tc>
          <w:tcPr>
            <w:tcW w:type="dxa" w:w="815"/>
          </w:tcPr>
          <w:p>
            <w:pPr>
              <w:spacing w:after="0"/>
              <w:jc w:val="right"/>
            </w:pPr>
            <w:r>
              <w:rPr>
                <w:sz w:val="14"/>
              </w:rPr>
              <w:t>0.8</w:t>
            </w:r>
          </w:p>
        </w:tc>
        <w:tc>
          <w:tcPr>
            <w:tcW w:type="dxa" w:w="815"/>
          </w:tcPr>
          <w:p>
            <w:pPr>
              <w:spacing w:after="0"/>
              <w:jc w:val="right"/>
            </w:pPr>
            <w:r>
              <w:rPr>
                <w:sz w:val="14"/>
              </w:rPr>
              <w:t>0.6</w:t>
            </w:r>
          </w:p>
        </w:tc>
        <w:tc>
          <w:tcPr>
            <w:tcW w:type="dxa" w:w="815"/>
          </w:tcPr>
          <w:p>
            <w:pPr>
              <w:spacing w:after="0"/>
              <w:jc w:val="right"/>
            </w:pPr>
            <w:r>
              <w:rPr>
                <w:sz w:val="14"/>
              </w:rPr>
              <w:t>1.4</w:t>
            </w:r>
          </w:p>
        </w:tc>
        <w:tc>
          <w:tcPr>
            <w:tcW w:type="dxa" w:w="815"/>
          </w:tcPr>
          <w:p>
            <w:pPr>
              <w:spacing w:after="0"/>
              <w:jc w:val="right"/>
            </w:pPr>
            <w:r>
              <w:rPr>
                <w:sz w:val="14"/>
              </w:rPr>
              <w:t>8.0</w:t>
            </w:r>
          </w:p>
        </w:tc>
        <w:tc>
          <w:tcPr>
            <w:tcW w:type="dxa" w:w="815"/>
          </w:tcPr>
          <w:p>
            <w:pPr>
              <w:spacing w:after="0"/>
              <w:jc w:val="right"/>
            </w:pPr>
            <w:r>
              <w:rPr>
                <w:sz w:val="14"/>
              </w:rPr>
              <w:t>9.5</w:t>
            </w:r>
          </w:p>
        </w:tc>
        <w:tc>
          <w:tcPr>
            <w:tcW w:type="dxa" w:w="815"/>
          </w:tcPr>
          <w:p>
            <w:pPr>
              <w:spacing w:after="0"/>
              <w:jc w:val="right"/>
            </w:pPr>
            <w:r>
              <w:rPr>
                <w:sz w:val="14"/>
              </w:rPr>
              <w:t>4.7</w:t>
            </w:r>
          </w:p>
        </w:tc>
        <w:tc>
          <w:tcPr>
            <w:tcW w:type="dxa" w:w="815"/>
          </w:tcPr>
          <w:p>
            <w:pPr>
              <w:spacing w:after="0"/>
              <w:jc w:val="right"/>
            </w:pPr>
            <w:r>
              <w:rPr>
                <w:sz w:val="14"/>
              </w:rPr>
              <w:t>6.3</w:t>
            </w:r>
          </w:p>
        </w:tc>
        <w:tc>
          <w:tcPr>
            <w:tcW w:type="dxa" w:w="815"/>
          </w:tcPr>
          <w:p>
            <w:pPr>
              <w:spacing w:after="0"/>
              <w:jc w:val="right"/>
            </w:pPr>
            <w:r>
              <w:rPr>
                <w:sz w:val="14"/>
              </w:rPr>
              <w:t>11.0</w:t>
            </w:r>
          </w:p>
        </w:tc>
        <w:tc>
          <w:tcPr>
            <w:tcW w:type="dxa" w:w="815"/>
          </w:tcPr>
          <w:p>
            <w:pPr>
              <w:spacing w:after="0"/>
              <w:jc w:val="right"/>
            </w:pPr>
            <w:r>
              <w:rPr>
                <w:sz w:val="14"/>
              </w:rPr>
              <w:t>19.1</w:t>
            </w:r>
          </w:p>
        </w:tc>
      </w:tr>
      <w:tr>
        <w:tc>
          <w:tcPr>
            <w:tcW w:type="dxa" w:w="2022"/>
          </w:tcPr>
          <w:p>
            <w:pPr>
              <w:spacing w:after="0"/>
            </w:pPr>
            <w:r>
              <w:rPr>
                <w:b/>
                <w:sz w:val="14"/>
              </w:rPr>
              <w:t>Net investment income (loss)</w:t>
            </w:r>
          </w:p>
        </w:tc>
        <w:tc>
          <w:tcPr>
            <w:tcW w:type="dxa" w:w="815"/>
          </w:tcPr>
          <w:p>
            <w:pPr>
              <w:spacing w:after="0"/>
              <w:jc w:val="right"/>
            </w:pPr>
            <w:r>
              <w:rPr>
                <w:sz w:val="14"/>
              </w:rPr>
              <w:t>(0.8)</w:t>
            </w:r>
          </w:p>
        </w:tc>
        <w:tc>
          <w:tcPr>
            <w:tcW w:type="dxa" w:w="815"/>
          </w:tcPr>
          <w:p>
            <w:pPr>
              <w:spacing w:after="0"/>
              <w:jc w:val="right"/>
            </w:pPr>
            <w:r>
              <w:rPr>
                <w:sz w:val="14"/>
              </w:rPr>
              <w:t>(0.1)</w:t>
            </w:r>
          </w:p>
        </w:tc>
        <w:tc>
          <w:tcPr>
            <w:tcW w:type="dxa" w:w="815"/>
          </w:tcPr>
          <w:p>
            <w:pPr>
              <w:spacing w:after="0"/>
              <w:jc w:val="right"/>
            </w:pPr>
            <w:r>
              <w:rPr>
                <w:sz w:val="14"/>
              </w:rPr>
              <w:t>(0.9)</w:t>
            </w:r>
          </w:p>
        </w:tc>
        <w:tc>
          <w:tcPr>
            <w:tcW w:type="dxa" w:w="815"/>
          </w:tcPr>
          <w:p>
            <w:pPr>
              <w:spacing w:after="0"/>
              <w:jc w:val="right"/>
            </w:pPr>
            <w:r>
              <w:rPr>
                <w:sz w:val="14"/>
              </w:rPr>
              <w:t>(0.1)</w:t>
            </w:r>
          </w:p>
        </w:tc>
        <w:tc>
          <w:tcPr>
            <w:tcW w:type="dxa" w:w="815"/>
          </w:tcPr>
          <w:p>
            <w:pPr>
              <w:spacing w:after="0"/>
              <w:jc w:val="right"/>
            </w:pPr>
            <w:r>
              <w:rPr>
                <w:sz w:val="14"/>
              </w:rPr>
              <w:t>(1.1)</w:t>
            </w:r>
          </w:p>
        </w:tc>
        <w:tc>
          <w:tcPr>
            <w:tcW w:type="dxa" w:w="815"/>
          </w:tcPr>
          <w:p>
            <w:pPr>
              <w:spacing w:after="0"/>
              <w:jc w:val="right"/>
            </w:pPr>
            <w:r>
              <w:rPr>
                <w:sz w:val="14"/>
              </w:rPr>
              <w:t>3.9</w:t>
            </w:r>
          </w:p>
        </w:tc>
        <w:tc>
          <w:tcPr>
            <w:tcW w:type="dxa" w:w="815"/>
          </w:tcPr>
          <w:p>
            <w:pPr>
              <w:spacing w:after="0"/>
              <w:jc w:val="right"/>
            </w:pPr>
            <w:r>
              <w:rPr>
                <w:sz w:val="14"/>
              </w:rPr>
              <w:t>4.0</w:t>
            </w:r>
          </w:p>
        </w:tc>
        <w:tc>
          <w:tcPr>
            <w:tcW w:type="dxa" w:w="815"/>
          </w:tcPr>
          <w:p>
            <w:pPr>
              <w:spacing w:after="0"/>
              <w:jc w:val="right"/>
            </w:pPr>
            <w:r>
              <w:rPr>
                <w:sz w:val="14"/>
              </w:rPr>
              <w:t>7.9</w:t>
            </w:r>
          </w:p>
        </w:tc>
        <w:tc>
          <w:tcPr>
            <w:tcW w:type="dxa" w:w="815"/>
          </w:tcPr>
          <w:p>
            <w:pPr>
              <w:spacing w:after="0"/>
              <w:jc w:val="right"/>
            </w:pPr>
            <w:r>
              <w:rPr>
                <w:sz w:val="14"/>
              </w:rPr>
              <w:t>7.8</w:t>
            </w:r>
          </w:p>
        </w:tc>
      </w:tr>
      <w:tr>
        <w:tc>
          <w:tcPr>
            <w:tcW w:type="dxa" w:w="2022"/>
          </w:tcPr>
          <w:p>
            <w:pPr>
              <w:spacing w:after="0"/>
            </w:pPr>
            <w:r>
              <w:rPr>
                <w:sz w:val="14"/>
              </w:rPr>
              <w:t>Net realized and unrealized gain (loss)</w:t>
            </w:r>
          </w:p>
        </w:tc>
        <w:tc>
          <w:tcPr>
            <w:tcW w:type="dxa" w:w="815"/>
          </w:tcPr>
          <w:p>
            <w:pPr>
              <w:spacing w:after="0"/>
              <w:jc w:val="right"/>
            </w:pPr>
            <w:r>
              <w:rPr>
                <w:sz w:val="14"/>
              </w:rPr>
              <w:t>0.0</w:t>
            </w:r>
          </w:p>
        </w:tc>
        <w:tc>
          <w:tcPr>
            <w:tcW w:type="dxa" w:w="815"/>
          </w:tcPr>
          <w:p>
            <w:pPr>
              <w:spacing w:after="0"/>
              <w:jc w:val="right"/>
            </w:pPr>
            <w:r>
              <w:rPr>
                <w:sz w:val="14"/>
              </w:rPr>
              <w:t>(0.1)</w:t>
            </w:r>
          </w:p>
        </w:tc>
        <w:tc>
          <w:tcPr>
            <w:tcW w:type="dxa" w:w="815"/>
          </w:tcPr>
          <w:p>
            <w:pPr>
              <w:spacing w:after="0"/>
              <w:jc w:val="right"/>
            </w:pPr>
            <w:r>
              <w:rPr>
                <w:sz w:val="14"/>
              </w:rPr>
              <w:t>(0.1)</w:t>
            </w:r>
          </w:p>
        </w:tc>
        <w:tc>
          <w:tcPr>
            <w:tcW w:type="dxa" w:w="815"/>
          </w:tcPr>
          <w:p>
            <w:pPr>
              <w:spacing w:after="0"/>
              <w:jc w:val="right"/>
            </w:pPr>
            <w:r>
              <w:rPr>
                <w:sz w:val="14"/>
              </w:rPr>
              <w:t>1.9</w:t>
            </w:r>
          </w:p>
        </w:tc>
        <w:tc>
          <w:tcPr>
            <w:tcW w:type="dxa" w:w="815"/>
          </w:tcPr>
          <w:p>
            <w:pPr>
              <w:spacing w:after="0"/>
              <w:jc w:val="right"/>
            </w:pPr>
            <w:r>
              <w:rPr>
                <w:sz w:val="14"/>
              </w:rPr>
              <w:t>1.8</w:t>
            </w:r>
          </w:p>
        </w:tc>
        <w:tc>
          <w:tcPr>
            <w:tcW w:type="dxa" w:w="815"/>
          </w:tcPr>
          <w:p>
            <w:pPr>
              <w:spacing w:after="0"/>
              <w:jc w:val="right"/>
            </w:pPr>
            <w:r>
              <w:rPr>
                <w:sz w:val="14"/>
              </w:rPr>
              <w:t>1.4</w:t>
            </w:r>
          </w:p>
        </w:tc>
        <w:tc>
          <w:tcPr>
            <w:tcW w:type="dxa" w:w="815"/>
          </w:tcPr>
          <w:p>
            <w:pPr>
              <w:spacing w:after="0"/>
              <w:jc w:val="right"/>
            </w:pPr>
            <w:r>
              <w:rPr>
                <w:sz w:val="14"/>
              </w:rPr>
              <w:t>1.1</w:t>
            </w:r>
          </w:p>
        </w:tc>
        <w:tc>
          <w:tcPr>
            <w:tcW w:type="dxa" w:w="815"/>
          </w:tcPr>
          <w:p>
            <w:pPr>
              <w:spacing w:after="0"/>
              <w:jc w:val="right"/>
            </w:pPr>
            <w:r>
              <w:rPr>
                <w:sz w:val="14"/>
              </w:rPr>
              <w:t>2.5</w:t>
            </w:r>
          </w:p>
        </w:tc>
        <w:tc>
          <w:tcPr>
            <w:tcW w:type="dxa" w:w="815"/>
          </w:tcPr>
          <w:p>
            <w:pPr>
              <w:spacing w:after="0"/>
              <w:jc w:val="right"/>
            </w:pPr>
            <w:r>
              <w:rPr>
                <w:sz w:val="14"/>
              </w:rPr>
              <w:t>4.4</w:t>
            </w:r>
          </w:p>
        </w:tc>
      </w:tr>
      <w:tr>
        <w:tc>
          <w:tcPr>
            <w:tcW w:type="dxa" w:w="2022"/>
          </w:tcPr>
          <w:p>
            <w:pPr>
              <w:spacing w:after="0"/>
            </w:pPr>
            <w:r>
              <w:rPr>
                <w:b/>
                <w:sz w:val="14"/>
              </w:rPr>
              <w:t>Net increase in net assets from operations</w:t>
            </w:r>
          </w:p>
        </w:tc>
        <w:tc>
          <w:tcPr>
            <w:tcW w:type="dxa" w:w="815"/>
          </w:tcPr>
          <w:p>
            <w:pPr>
              <w:spacing w:after="0"/>
              <w:jc w:val="right"/>
            </w:pPr>
            <w:r>
              <w:rPr>
                <w:sz w:val="14"/>
              </w:rPr>
              <w:t>(0.8)</w:t>
            </w:r>
          </w:p>
        </w:tc>
        <w:tc>
          <w:tcPr>
            <w:tcW w:type="dxa" w:w="815"/>
          </w:tcPr>
          <w:p>
            <w:pPr>
              <w:spacing w:after="0"/>
              <w:jc w:val="right"/>
            </w:pPr>
            <w:r>
              <w:rPr>
                <w:sz w:val="14"/>
              </w:rPr>
              <w:t>(0.2)</w:t>
            </w:r>
          </w:p>
        </w:tc>
        <w:tc>
          <w:tcPr>
            <w:tcW w:type="dxa" w:w="815"/>
          </w:tcPr>
          <w:p>
            <w:pPr>
              <w:spacing w:after="0"/>
              <w:jc w:val="right"/>
            </w:pPr>
            <w:r>
              <w:rPr>
                <w:sz w:val="14"/>
              </w:rPr>
              <w:t>(1.1)</w:t>
            </w:r>
          </w:p>
        </w:tc>
        <w:tc>
          <w:tcPr>
            <w:tcW w:type="dxa" w:w="815"/>
          </w:tcPr>
          <w:p>
            <w:pPr>
              <w:spacing w:after="0"/>
              <w:jc w:val="right"/>
            </w:pPr>
            <w:r>
              <w:rPr>
                <w:sz w:val="14"/>
              </w:rPr>
              <w:t>1.8</w:t>
            </w:r>
          </w:p>
        </w:tc>
        <w:tc>
          <w:tcPr>
            <w:tcW w:type="dxa" w:w="815"/>
          </w:tcPr>
          <w:p>
            <w:pPr>
              <w:spacing w:after="0"/>
              <w:jc w:val="right"/>
            </w:pPr>
            <w:r>
              <w:rPr>
                <w:sz w:val="14"/>
              </w:rPr>
              <w:t>0.7</w:t>
            </w:r>
          </w:p>
        </w:tc>
        <w:tc>
          <w:tcPr>
            <w:tcW w:type="dxa" w:w="815"/>
          </w:tcPr>
          <w:p>
            <w:pPr>
              <w:spacing w:after="0"/>
              <w:jc w:val="right"/>
            </w:pPr>
            <w:r>
              <w:rPr>
                <w:sz w:val="14"/>
              </w:rPr>
              <w:t>5.3</w:t>
            </w:r>
          </w:p>
        </w:tc>
        <w:tc>
          <w:tcPr>
            <w:tcW w:type="dxa" w:w="815"/>
          </w:tcPr>
          <w:p>
            <w:pPr>
              <w:spacing w:after="0"/>
              <w:jc w:val="right"/>
            </w:pPr>
            <w:r>
              <w:rPr>
                <w:sz w:val="14"/>
              </w:rPr>
              <w:t>5.0</w:t>
            </w:r>
          </w:p>
        </w:tc>
        <w:tc>
          <w:tcPr>
            <w:tcW w:type="dxa" w:w="815"/>
          </w:tcPr>
          <w:p>
            <w:pPr>
              <w:spacing w:after="0"/>
              <w:jc w:val="right"/>
            </w:pPr>
            <w:r>
              <w:rPr>
                <w:sz w:val="14"/>
              </w:rPr>
              <w:t>10.3</w:t>
            </w:r>
          </w:p>
        </w:tc>
        <w:tc>
          <w:tcPr>
            <w:tcW w:type="dxa" w:w="815"/>
          </w:tcPr>
          <w:p>
            <w:pPr>
              <w:spacing w:after="0"/>
              <w:jc w:val="right"/>
            </w:pPr>
            <w:r>
              <w:rPr>
                <w:sz w:val="14"/>
              </w:rPr>
              <w:t>12.1</w:t>
            </w:r>
          </w:p>
        </w:tc>
      </w:tr>
      <w:tr>
        <w:tc>
          <w:tcPr>
            <w:tcW w:type="dxa" w:w="2022"/>
          </w:tcPr>
          <w:p>
            <w:pPr>
              <w:spacing w:after="0"/>
            </w:pPr>
            <w:r>
              <w:rPr>
                <w:sz w:val="14"/>
              </w:rPr>
              <w:t>Distributions declared</w:t>
            </w:r>
          </w:p>
        </w:tc>
        <w:tc>
          <w:tcPr>
            <w:tcW w:type="dxa" w:w="815"/>
          </w:tcPr>
          <w:p>
            <w:pPr>
              <w:spacing w:after="0"/>
              <w:jc w:val="right"/>
            </w:pPr>
            <w:r>
              <w:rPr>
                <w:sz w:val="14"/>
              </w:rPr>
              <w:t>0.0</w:t>
            </w:r>
          </w:p>
        </w:tc>
        <w:tc>
          <w:tcPr>
            <w:tcW w:type="dxa" w:w="815"/>
          </w:tcPr>
          <w:p>
            <w:pPr>
              <w:spacing w:after="0"/>
              <w:jc w:val="right"/>
            </w:pPr>
            <w:r>
              <w:rPr>
                <w:sz w:val="14"/>
              </w:rPr>
              <w:t>0.0</w:t>
            </w:r>
          </w:p>
        </w:tc>
        <w:tc>
          <w:tcPr>
            <w:tcW w:type="dxa" w:w="815"/>
          </w:tcPr>
          <w:p>
            <w:pPr>
              <w:spacing w:after="0"/>
              <w:jc w:val="right"/>
            </w:pPr>
            <w:r>
              <w:rPr>
                <w:sz w:val="14"/>
              </w:rPr>
              <w:t>0.0</w:t>
            </w:r>
          </w:p>
        </w:tc>
        <w:tc>
          <w:tcPr>
            <w:tcW w:type="dxa" w:w="815"/>
          </w:tcPr>
          <w:p>
            <w:pPr>
              <w:spacing w:after="0"/>
              <w:jc w:val="right"/>
            </w:pPr>
            <w:r>
              <w:rPr>
                <w:sz w:val="14"/>
              </w:rPr>
              <w:t>2.0</w:t>
            </w:r>
          </w:p>
        </w:tc>
        <w:tc>
          <w:tcPr>
            <w:tcW w:type="dxa" w:w="815"/>
          </w:tcPr>
          <w:p>
            <w:pPr>
              <w:spacing w:after="0"/>
              <w:jc w:val="right"/>
            </w:pPr>
            <w:r>
              <w:rPr>
                <w:sz w:val="14"/>
              </w:rPr>
              <w:t>2.0</w:t>
            </w:r>
          </w:p>
        </w:tc>
        <w:tc>
          <w:tcPr>
            <w:tcW w:type="dxa" w:w="815"/>
          </w:tcPr>
          <w:p>
            <w:pPr>
              <w:spacing w:after="0"/>
              <w:jc w:val="right"/>
            </w:pPr>
            <w:r>
              <w:rPr>
                <w:sz w:val="14"/>
              </w:rPr>
              <w:t>0.0</w:t>
            </w:r>
          </w:p>
        </w:tc>
        <w:tc>
          <w:tcPr>
            <w:tcW w:type="dxa" w:w="815"/>
          </w:tcPr>
          <w:p>
            <w:pPr>
              <w:spacing w:after="0"/>
              <w:jc w:val="right"/>
            </w:pPr>
            <w:r>
              <w:rPr>
                <w:sz w:val="14"/>
              </w:rPr>
              <w:t>8.1</w:t>
            </w:r>
          </w:p>
        </w:tc>
        <w:tc>
          <w:tcPr>
            <w:tcW w:type="dxa" w:w="815"/>
          </w:tcPr>
          <w:p>
            <w:pPr>
              <w:spacing w:after="0"/>
              <w:jc w:val="right"/>
            </w:pPr>
            <w:r>
              <w:rPr>
                <w:sz w:val="14"/>
              </w:rPr>
              <w:t>8.1</w:t>
            </w:r>
          </w:p>
        </w:tc>
        <w:tc>
          <w:tcPr>
            <w:tcW w:type="dxa" w:w="815"/>
          </w:tcPr>
          <w:p>
            <w:pPr>
              <w:spacing w:after="0"/>
              <w:jc w:val="right"/>
            </w:pPr>
            <w:r>
              <w:rPr>
                <w:sz w:val="14"/>
              </w:rPr>
              <w:t>10.1</w:t>
            </w:r>
          </w:p>
        </w:tc>
      </w:tr>
    </w:tbl>
    <w:p>
      <w:pPr>
        <w:spacing w:after="40"/>
      </w:pPr>
    </w:p>
    <w:p>
      <w:r>
        <w:rPr>
          <w:i/>
          <w:color w:val="5B6475"/>
          <w:sz w:val="16"/>
        </w:rPr>
        <w:t>Source: Form 10-K FY2025 and Forms 10-Q Q1-2026 and Q2-2026, Consolidated Statements of Operations; expense lines grouped by IC Simulator. The fund has six quarters of history since inception.</w:t>
      </w:r>
    </w:p>
    <w:p>
      <w:pPr>
        <w:spacing w:after="80"/>
      </w:pPr>
      <w:r>
        <w:rPr>
          <w:b/>
        </w:rPr>
        <w:t>Exhibit 1C: Portfolio at Jun 30, 2026</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5047"/>
        <w:gridCol w:w="4312"/>
      </w:tblGrid>
      <w:tr>
        <w:tc>
          <w:tcPr>
            <w:tcW w:type="dxa" w:w="5047"/>
            <w:shd w:val="clear" w:color="auto" w:fill="E4EAF3"/>
          </w:tcPr>
          <w:p>
            <w:pPr>
              <w:spacing w:after="0"/>
            </w:pPr>
            <w:r>
              <w:rPr>
                <w:b/>
                <w:color w:val="121826"/>
                <w:sz w:val="17"/>
              </w:rPr>
              <w:t>Item</w:t>
            </w:r>
          </w:p>
        </w:tc>
        <w:tc>
          <w:tcPr>
            <w:tcW w:type="dxa" w:w="4313"/>
            <w:shd w:val="clear" w:color="auto" w:fill="E4EAF3"/>
          </w:tcPr>
          <w:p>
            <w:pPr>
              <w:spacing w:after="0"/>
            </w:pPr>
            <w:r>
              <w:rPr>
                <w:b/>
                <w:color w:val="121826"/>
                <w:sz w:val="17"/>
              </w:rPr>
              <w:t>Value</w:t>
            </w:r>
          </w:p>
        </w:tc>
      </w:tr>
      <w:tr>
        <w:tc>
          <w:tcPr>
            <w:tcW w:type="dxa" w:w="5047"/>
          </w:tcPr>
          <w:p>
            <w:pPr>
              <w:spacing w:after="0"/>
            </w:pPr>
            <w:r>
              <w:rPr>
                <w:sz w:val="17"/>
              </w:rPr>
              <w:t>Debt / equity positions</w:t>
            </w:r>
          </w:p>
        </w:tc>
        <w:tc>
          <w:tcPr>
            <w:tcW w:type="dxa" w:w="4313"/>
          </w:tcPr>
          <w:p>
            <w:pPr>
              <w:spacing w:after="0"/>
            </w:pPr>
            <w:r>
              <w:rPr>
                <w:sz w:val="17"/>
              </w:rPr>
              <w:t>21 / 2</w:t>
            </w:r>
          </w:p>
        </w:tc>
      </w:tr>
      <w:tr>
        <w:tc>
          <w:tcPr>
            <w:tcW w:type="dxa" w:w="5047"/>
          </w:tcPr>
          <w:p>
            <w:pPr>
              <w:spacing w:after="0"/>
            </w:pPr>
            <w:r>
              <w:rPr>
                <w:sz w:val="17"/>
              </w:rPr>
              <w:t>Share of fair value in senior secured loans</w:t>
            </w:r>
          </w:p>
        </w:tc>
        <w:tc>
          <w:tcPr>
            <w:tcW w:type="dxa" w:w="4313"/>
          </w:tcPr>
          <w:p>
            <w:pPr>
              <w:spacing w:after="0"/>
              <w:jc w:val="right"/>
            </w:pPr>
            <w:r>
              <w:rPr>
                <w:sz w:val="17"/>
              </w:rPr>
              <w:t>99.6%</w:t>
            </w:r>
          </w:p>
        </w:tc>
      </w:tr>
      <w:tr>
        <w:tc>
          <w:tcPr>
            <w:tcW w:type="dxa" w:w="5047"/>
          </w:tcPr>
          <w:p>
            <w:pPr>
              <w:spacing w:after="0"/>
            </w:pPr>
            <w:r>
              <w:rPr>
                <w:sz w:val="17"/>
              </w:rPr>
              <w:t>Industries (largest: capital markets and electrical equipment, 10% each)</w:t>
            </w:r>
          </w:p>
        </w:tc>
        <w:tc>
          <w:tcPr>
            <w:tcW w:type="dxa" w:w="4313"/>
          </w:tcPr>
          <w:p>
            <w:pPr>
              <w:spacing w:after="0"/>
              <w:jc w:val="right"/>
            </w:pPr>
            <w:r>
              <w:rPr>
                <w:sz w:val="17"/>
              </w:rPr>
              <w:t>13</w:t>
            </w:r>
          </w:p>
        </w:tc>
      </w:tr>
      <w:tr>
        <w:tc>
          <w:tcPr>
            <w:tcW w:type="dxa" w:w="5047"/>
          </w:tcPr>
          <w:p>
            <w:pPr>
              <w:spacing w:after="0"/>
            </w:pPr>
            <w:r>
              <w:rPr>
                <w:sz w:val="17"/>
              </w:rPr>
              <w:t>Unfunded loan commitments to portfolio companies</w:t>
            </w:r>
          </w:p>
        </w:tc>
        <w:tc>
          <w:tcPr>
            <w:tcW w:type="dxa" w:w="4313"/>
          </w:tcPr>
          <w:p>
            <w:pPr>
              <w:spacing w:after="0"/>
            </w:pPr>
            <w:r>
              <w:rPr>
                <w:sz w:val="17"/>
              </w:rPr>
              <w:t>$92.6M (Dec-25: $80.9M)</w:t>
            </w:r>
          </w:p>
        </w:tc>
      </w:tr>
      <w:tr>
        <w:tc>
          <w:tcPr>
            <w:tcW w:type="dxa" w:w="5047"/>
          </w:tcPr>
          <w:p>
            <w:pPr>
              <w:spacing w:after="0"/>
            </w:pPr>
            <w:r>
              <w:rPr>
                <w:sz w:val="17"/>
              </w:rPr>
              <w:t>Weighted average interest rate on both credit facilities, Q2-26</w:t>
            </w:r>
          </w:p>
        </w:tc>
        <w:tc>
          <w:tcPr>
            <w:tcW w:type="dxa" w:w="4313"/>
          </w:tcPr>
          <w:p>
            <w:pPr>
              <w:spacing w:after="0"/>
              <w:jc w:val="right"/>
            </w:pPr>
            <w:r>
              <w:rPr>
                <w:sz w:val="17"/>
              </w:rPr>
              <w:t>5.95%</w:t>
            </w:r>
          </w:p>
        </w:tc>
      </w:tr>
    </w:tbl>
    <w:p>
      <w:pPr>
        <w:spacing w:after="40"/>
      </w:pPr>
    </w:p>
    <w:p>
      <w:r>
        <w:rPr>
          <w:i/>
          <w:color w:val="5B6475"/>
          <w:sz w:val="16"/>
        </w:rPr>
        <w:t>Source: Form 10-Q Q2-2026, Item 2 and Notes 5 and 7.</w:t>
      </w:r>
    </w:p>
    <w:p>
      <w:pPr>
        <w:spacing w:after="80"/>
      </w:pPr>
      <w:r>
        <w:rPr>
          <w:b/>
        </w:rPr>
        <w:t>Exhibit 1D: Holdings at Jun 30, 2026, by issuer</w:t>
      </w:r>
    </w:p>
    <w:p>
      <w:r>
        <w:rPr>
          <w:i/>
          <w:color w:val="5B6475"/>
          <w:sz w:val="16"/>
        </w:rPr>
        <w:t>Units: $ in millions; spread is the term loan margin over SOFR; all positions Level 3 fair value, all US</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2117"/>
        <w:gridCol w:w="2117"/>
        <w:gridCol w:w="854"/>
        <w:gridCol w:w="854"/>
        <w:gridCol w:w="854"/>
        <w:gridCol w:w="854"/>
        <w:gridCol w:w="854"/>
        <w:gridCol w:w="854"/>
      </w:tblGrid>
      <w:tr>
        <w:tc>
          <w:tcPr>
            <w:tcW w:type="dxa" w:w="2118"/>
            <w:shd w:val="clear" w:color="auto" w:fill="E4EAF3"/>
          </w:tcPr>
          <w:p>
            <w:pPr>
              <w:spacing w:after="0"/>
            </w:pPr>
            <w:r>
              <w:rPr>
                <w:b/>
                <w:color w:val="121826"/>
                <w:sz w:val="15"/>
              </w:rPr>
              <w:t>Issuer</w:t>
            </w:r>
          </w:p>
        </w:tc>
        <w:tc>
          <w:tcPr>
            <w:tcW w:type="dxa" w:w="2118"/>
            <w:shd w:val="clear" w:color="auto" w:fill="E4EAF3"/>
          </w:tcPr>
          <w:p>
            <w:pPr>
              <w:spacing w:after="0"/>
            </w:pPr>
            <w:r>
              <w:rPr>
                <w:b/>
                <w:color w:val="121826"/>
                <w:sz w:val="15"/>
              </w:rPr>
              <w:t>Industry</w:t>
            </w:r>
          </w:p>
        </w:tc>
        <w:tc>
          <w:tcPr>
            <w:tcW w:type="dxa" w:w="854"/>
            <w:shd w:val="clear" w:color="auto" w:fill="E4EAF3"/>
          </w:tcPr>
          <w:p>
            <w:pPr>
              <w:spacing w:after="0"/>
            </w:pPr>
            <w:r>
              <w:rPr>
                <w:b/>
                <w:color w:val="121826"/>
                <w:sz w:val="15"/>
              </w:rPr>
              <w:t>Spread</w:t>
            </w:r>
          </w:p>
        </w:tc>
        <w:tc>
          <w:tcPr>
            <w:tcW w:type="dxa" w:w="854"/>
            <w:shd w:val="clear" w:color="auto" w:fill="E4EAF3"/>
          </w:tcPr>
          <w:p>
            <w:pPr>
              <w:spacing w:after="0"/>
            </w:pPr>
            <w:r>
              <w:rPr>
                <w:b/>
                <w:color w:val="121826"/>
                <w:sz w:val="15"/>
              </w:rPr>
              <w:t>Maturity</w:t>
            </w:r>
          </w:p>
        </w:tc>
        <w:tc>
          <w:tcPr>
            <w:tcW w:type="dxa" w:w="854"/>
            <w:shd w:val="clear" w:color="auto" w:fill="E4EAF3"/>
          </w:tcPr>
          <w:p>
            <w:pPr>
              <w:spacing w:after="0"/>
            </w:pPr>
            <w:r>
              <w:rPr>
                <w:b/>
                <w:color w:val="121826"/>
                <w:sz w:val="15"/>
              </w:rPr>
              <w:t>Cost</w:t>
            </w:r>
          </w:p>
        </w:tc>
        <w:tc>
          <w:tcPr>
            <w:tcW w:type="dxa" w:w="854"/>
            <w:shd w:val="clear" w:color="auto" w:fill="E4EAF3"/>
          </w:tcPr>
          <w:p>
            <w:pPr>
              <w:spacing w:after="0"/>
            </w:pPr>
            <w:r>
              <w:rPr>
                <w:b/>
                <w:color w:val="121826"/>
                <w:sz w:val="15"/>
              </w:rPr>
              <w:t>Fair value</w:t>
            </w:r>
          </w:p>
        </w:tc>
        <w:tc>
          <w:tcPr>
            <w:tcW w:type="dxa" w:w="854"/>
            <w:shd w:val="clear" w:color="auto" w:fill="E4EAF3"/>
          </w:tcPr>
          <w:p>
            <w:pPr>
              <w:spacing w:after="0"/>
            </w:pPr>
            <w:r>
              <w:rPr>
                <w:b/>
                <w:color w:val="121826"/>
                <w:sz w:val="15"/>
              </w:rPr>
              <w:t>Fair value ÷ cost</w:t>
            </w:r>
          </w:p>
        </w:tc>
        <w:tc>
          <w:tcPr>
            <w:tcW w:type="dxa" w:w="854"/>
            <w:shd w:val="clear" w:color="auto" w:fill="E4EAF3"/>
          </w:tcPr>
          <w:p>
            <w:pPr>
              <w:spacing w:after="0"/>
            </w:pPr>
            <w:r>
              <w:rPr>
                <w:b/>
                <w:color w:val="121826"/>
                <w:sz w:val="15"/>
              </w:rPr>
              <w:t>% of net assets</w:t>
            </w:r>
          </w:p>
        </w:tc>
      </w:tr>
      <w:tr>
        <w:tc>
          <w:tcPr>
            <w:tcW w:type="dxa" w:w="2118"/>
          </w:tcPr>
          <w:p>
            <w:pPr>
              <w:spacing w:after="0"/>
            </w:pPr>
            <w:r>
              <w:rPr>
                <w:sz w:val="15"/>
              </w:rPr>
              <w:t>Tidal Investments LLC</w:t>
            </w:r>
          </w:p>
        </w:tc>
        <w:tc>
          <w:tcPr>
            <w:tcW w:type="dxa" w:w="2118"/>
          </w:tcPr>
          <w:p>
            <w:pPr>
              <w:spacing w:after="0"/>
            </w:pPr>
            <w:r>
              <w:rPr>
                <w:sz w:val="15"/>
              </w:rPr>
              <w:t>Capital markets</w:t>
            </w:r>
          </w:p>
        </w:tc>
        <w:tc>
          <w:tcPr>
            <w:tcW w:type="dxa" w:w="854"/>
          </w:tcPr>
          <w:p>
            <w:pPr>
              <w:spacing w:after="0"/>
              <w:jc w:val="right"/>
            </w:pPr>
            <w:r>
              <w:rPr>
                <w:sz w:val="15"/>
              </w:rPr>
              <w:t>5.00%</w:t>
            </w:r>
          </w:p>
        </w:tc>
        <w:tc>
          <w:tcPr>
            <w:tcW w:type="dxa" w:w="854"/>
          </w:tcPr>
          <w:p>
            <w:pPr>
              <w:spacing w:after="0"/>
            </w:pPr>
            <w:r>
              <w:rPr>
                <w:sz w:val="15"/>
              </w:rPr>
              <w:t>Aug 2030</w:t>
            </w:r>
          </w:p>
        </w:tc>
        <w:tc>
          <w:tcPr>
            <w:tcW w:type="dxa" w:w="854"/>
          </w:tcPr>
          <w:p>
            <w:pPr>
              <w:spacing w:after="0"/>
              <w:jc w:val="right"/>
            </w:pPr>
            <w:r>
              <w:rPr>
                <w:sz w:val="15"/>
              </w:rPr>
              <w:t>44.8</w:t>
            </w:r>
          </w:p>
        </w:tc>
        <w:tc>
          <w:tcPr>
            <w:tcW w:type="dxa" w:w="854"/>
          </w:tcPr>
          <w:p>
            <w:pPr>
              <w:spacing w:after="0"/>
              <w:jc w:val="right"/>
            </w:pPr>
            <w:r>
              <w:rPr>
                <w:sz w:val="15"/>
              </w:rPr>
              <w:t>45.3</w:t>
            </w:r>
          </w:p>
        </w:tc>
        <w:tc>
          <w:tcPr>
            <w:tcW w:type="dxa" w:w="854"/>
          </w:tcPr>
          <w:p>
            <w:pPr>
              <w:spacing w:after="0"/>
              <w:jc w:val="right"/>
            </w:pPr>
            <w:r>
              <w:rPr>
                <w:sz w:val="15"/>
              </w:rPr>
              <w:t>1.01x</w:t>
            </w:r>
          </w:p>
        </w:tc>
        <w:tc>
          <w:tcPr>
            <w:tcW w:type="dxa" w:w="854"/>
          </w:tcPr>
          <w:p>
            <w:pPr>
              <w:spacing w:after="0"/>
              <w:jc w:val="right"/>
            </w:pPr>
            <w:r>
              <w:rPr>
                <w:sz w:val="15"/>
              </w:rPr>
              <w:t>16.2%</w:t>
            </w:r>
          </w:p>
        </w:tc>
      </w:tr>
      <w:tr>
        <w:tc>
          <w:tcPr>
            <w:tcW w:type="dxa" w:w="2118"/>
          </w:tcPr>
          <w:p>
            <w:pPr>
              <w:spacing w:after="0"/>
            </w:pPr>
            <w:r>
              <w:rPr>
                <w:sz w:val="15"/>
              </w:rPr>
              <w:t>Centaur Holdings III LLC (Copperweld)</w:t>
            </w:r>
          </w:p>
        </w:tc>
        <w:tc>
          <w:tcPr>
            <w:tcW w:type="dxa" w:w="2118"/>
          </w:tcPr>
          <w:p>
            <w:pPr>
              <w:spacing w:after="0"/>
            </w:pPr>
            <w:r>
              <w:rPr>
                <w:sz w:val="15"/>
              </w:rPr>
              <w:t>Electrical equipment</w:t>
            </w:r>
          </w:p>
        </w:tc>
        <w:tc>
          <w:tcPr>
            <w:tcW w:type="dxa" w:w="854"/>
          </w:tcPr>
          <w:p>
            <w:pPr>
              <w:spacing w:after="0"/>
              <w:jc w:val="right"/>
            </w:pPr>
            <w:r>
              <w:rPr>
                <w:sz w:val="15"/>
              </w:rPr>
              <w:t>4.50%</w:t>
            </w:r>
          </w:p>
        </w:tc>
        <w:tc>
          <w:tcPr>
            <w:tcW w:type="dxa" w:w="854"/>
          </w:tcPr>
          <w:p>
            <w:pPr>
              <w:spacing w:after="0"/>
            </w:pPr>
            <w:r>
              <w:rPr>
                <w:sz w:val="15"/>
              </w:rPr>
              <w:t>Sep 2031</w:t>
            </w:r>
          </w:p>
        </w:tc>
        <w:tc>
          <w:tcPr>
            <w:tcW w:type="dxa" w:w="854"/>
          </w:tcPr>
          <w:p>
            <w:pPr>
              <w:spacing w:after="0"/>
              <w:jc w:val="right"/>
            </w:pPr>
            <w:r>
              <w:rPr>
                <w:sz w:val="15"/>
              </w:rPr>
              <w:t>44.0</w:t>
            </w:r>
          </w:p>
        </w:tc>
        <w:tc>
          <w:tcPr>
            <w:tcW w:type="dxa" w:w="854"/>
          </w:tcPr>
          <w:p>
            <w:pPr>
              <w:spacing w:after="0"/>
              <w:jc w:val="right"/>
            </w:pPr>
            <w:r>
              <w:rPr>
                <w:sz w:val="15"/>
              </w:rPr>
              <w:t>44.8</w:t>
            </w:r>
          </w:p>
        </w:tc>
        <w:tc>
          <w:tcPr>
            <w:tcW w:type="dxa" w:w="854"/>
          </w:tcPr>
          <w:p>
            <w:pPr>
              <w:spacing w:after="0"/>
              <w:jc w:val="right"/>
            </w:pPr>
            <w:r>
              <w:rPr>
                <w:sz w:val="15"/>
              </w:rPr>
              <w:t>1.02x</w:t>
            </w:r>
          </w:p>
        </w:tc>
        <w:tc>
          <w:tcPr>
            <w:tcW w:type="dxa" w:w="854"/>
          </w:tcPr>
          <w:p>
            <w:pPr>
              <w:spacing w:after="0"/>
              <w:jc w:val="right"/>
            </w:pPr>
            <w:r>
              <w:rPr>
                <w:sz w:val="15"/>
              </w:rPr>
              <w:t>16.0%</w:t>
            </w:r>
          </w:p>
        </w:tc>
      </w:tr>
      <w:tr>
        <w:tc>
          <w:tcPr>
            <w:tcW w:type="dxa" w:w="2118"/>
          </w:tcPr>
          <w:p>
            <w:pPr>
              <w:spacing w:after="0"/>
            </w:pPr>
            <w:r>
              <w:rPr>
                <w:sz w:val="15"/>
              </w:rPr>
              <w:t>Nexcess Digital Corp. (f/k/a CloudOne Digital Corp.)</w:t>
            </w:r>
          </w:p>
        </w:tc>
        <w:tc>
          <w:tcPr>
            <w:tcW w:type="dxa" w:w="2118"/>
          </w:tcPr>
          <w:p>
            <w:pPr>
              <w:spacing w:after="0"/>
            </w:pPr>
            <w:r>
              <w:rPr>
                <w:sz w:val="15"/>
              </w:rPr>
              <w:t>IT services</w:t>
            </w:r>
          </w:p>
        </w:tc>
        <w:tc>
          <w:tcPr>
            <w:tcW w:type="dxa" w:w="854"/>
          </w:tcPr>
          <w:p>
            <w:pPr>
              <w:spacing w:after="0"/>
              <w:jc w:val="right"/>
            </w:pPr>
            <w:r>
              <w:rPr>
                <w:sz w:val="15"/>
              </w:rPr>
              <w:t>4.75%</w:t>
            </w:r>
          </w:p>
        </w:tc>
        <w:tc>
          <w:tcPr>
            <w:tcW w:type="dxa" w:w="854"/>
          </w:tcPr>
          <w:p>
            <w:pPr>
              <w:spacing w:after="0"/>
            </w:pPr>
            <w:r>
              <w:rPr>
                <w:sz w:val="15"/>
              </w:rPr>
              <w:t>Aug 2031</w:t>
            </w:r>
          </w:p>
        </w:tc>
        <w:tc>
          <w:tcPr>
            <w:tcW w:type="dxa" w:w="854"/>
          </w:tcPr>
          <w:p>
            <w:pPr>
              <w:spacing w:after="0"/>
              <w:jc w:val="right"/>
            </w:pPr>
            <w:r>
              <w:rPr>
                <w:sz w:val="15"/>
              </w:rPr>
              <w:t>42.0</w:t>
            </w:r>
          </w:p>
        </w:tc>
        <w:tc>
          <w:tcPr>
            <w:tcW w:type="dxa" w:w="854"/>
          </w:tcPr>
          <w:p>
            <w:pPr>
              <w:spacing w:after="0"/>
              <w:jc w:val="right"/>
            </w:pPr>
            <w:r>
              <w:rPr>
                <w:sz w:val="15"/>
              </w:rPr>
              <w:t>42.5</w:t>
            </w:r>
          </w:p>
        </w:tc>
        <w:tc>
          <w:tcPr>
            <w:tcW w:type="dxa" w:w="854"/>
          </w:tcPr>
          <w:p>
            <w:pPr>
              <w:spacing w:after="0"/>
              <w:jc w:val="right"/>
            </w:pPr>
            <w:r>
              <w:rPr>
                <w:sz w:val="15"/>
              </w:rPr>
              <w:t>1.01x</w:t>
            </w:r>
          </w:p>
        </w:tc>
        <w:tc>
          <w:tcPr>
            <w:tcW w:type="dxa" w:w="854"/>
          </w:tcPr>
          <w:p>
            <w:pPr>
              <w:spacing w:after="0"/>
              <w:jc w:val="right"/>
            </w:pPr>
            <w:r>
              <w:rPr>
                <w:sz w:val="15"/>
              </w:rPr>
              <w:t>15.2%</w:t>
            </w:r>
          </w:p>
        </w:tc>
      </w:tr>
      <w:tr>
        <w:tc>
          <w:tcPr>
            <w:tcW w:type="dxa" w:w="2118"/>
          </w:tcPr>
          <w:p>
            <w:pPr>
              <w:spacing w:after="0"/>
            </w:pPr>
            <w:r>
              <w:rPr>
                <w:sz w:val="15"/>
              </w:rPr>
              <w:t>Leg Purchaser Inc. (Labrie)</w:t>
            </w:r>
          </w:p>
        </w:tc>
        <w:tc>
          <w:tcPr>
            <w:tcW w:type="dxa" w:w="2118"/>
          </w:tcPr>
          <w:p>
            <w:pPr>
              <w:spacing w:after="0"/>
            </w:pPr>
            <w:r>
              <w:rPr>
                <w:sz w:val="15"/>
              </w:rPr>
              <w:t>Machinery</w:t>
            </w:r>
          </w:p>
        </w:tc>
        <w:tc>
          <w:tcPr>
            <w:tcW w:type="dxa" w:w="854"/>
          </w:tcPr>
          <w:p>
            <w:pPr>
              <w:spacing w:after="0"/>
              <w:jc w:val="right"/>
            </w:pPr>
            <w:r>
              <w:rPr>
                <w:sz w:val="15"/>
              </w:rPr>
              <w:t>5.25%</w:t>
            </w:r>
          </w:p>
        </w:tc>
        <w:tc>
          <w:tcPr>
            <w:tcW w:type="dxa" w:w="854"/>
          </w:tcPr>
          <w:p>
            <w:pPr>
              <w:spacing w:after="0"/>
            </w:pPr>
            <w:r>
              <w:rPr>
                <w:sz w:val="15"/>
              </w:rPr>
              <w:t>Jan 2032</w:t>
            </w:r>
          </w:p>
        </w:tc>
        <w:tc>
          <w:tcPr>
            <w:tcW w:type="dxa" w:w="854"/>
          </w:tcPr>
          <w:p>
            <w:pPr>
              <w:spacing w:after="0"/>
              <w:jc w:val="right"/>
            </w:pPr>
            <w:r>
              <w:rPr>
                <w:sz w:val="15"/>
              </w:rPr>
              <w:t>40.6</w:t>
            </w:r>
          </w:p>
        </w:tc>
        <w:tc>
          <w:tcPr>
            <w:tcW w:type="dxa" w:w="854"/>
          </w:tcPr>
          <w:p>
            <w:pPr>
              <w:spacing w:after="0"/>
              <w:jc w:val="right"/>
            </w:pPr>
            <w:r>
              <w:rPr>
                <w:sz w:val="15"/>
              </w:rPr>
              <w:t>42.3</w:t>
            </w:r>
          </w:p>
        </w:tc>
        <w:tc>
          <w:tcPr>
            <w:tcW w:type="dxa" w:w="854"/>
          </w:tcPr>
          <w:p>
            <w:pPr>
              <w:spacing w:after="0"/>
              <w:jc w:val="right"/>
            </w:pPr>
            <w:r>
              <w:rPr>
                <w:sz w:val="15"/>
              </w:rPr>
              <w:t>1.04x</w:t>
            </w:r>
          </w:p>
        </w:tc>
        <w:tc>
          <w:tcPr>
            <w:tcW w:type="dxa" w:w="854"/>
          </w:tcPr>
          <w:p>
            <w:pPr>
              <w:spacing w:after="0"/>
              <w:jc w:val="right"/>
            </w:pPr>
            <w:r>
              <w:rPr>
                <w:sz w:val="15"/>
              </w:rPr>
              <w:t>15.1%</w:t>
            </w:r>
          </w:p>
        </w:tc>
      </w:tr>
      <w:tr>
        <w:tc>
          <w:tcPr>
            <w:tcW w:type="dxa" w:w="2118"/>
          </w:tcPr>
          <w:p>
            <w:pPr>
              <w:spacing w:after="0"/>
            </w:pPr>
            <w:r>
              <w:rPr>
                <w:sz w:val="15"/>
              </w:rPr>
              <w:t>Designs for Health, Inc.</w:t>
            </w:r>
          </w:p>
        </w:tc>
        <w:tc>
          <w:tcPr>
            <w:tcW w:type="dxa" w:w="2118"/>
          </w:tcPr>
          <w:p>
            <w:pPr>
              <w:spacing w:after="0"/>
            </w:pPr>
            <w:r>
              <w:rPr>
                <w:sz w:val="15"/>
              </w:rPr>
              <w:t>Personal care products</w:t>
            </w:r>
          </w:p>
        </w:tc>
        <w:tc>
          <w:tcPr>
            <w:tcW w:type="dxa" w:w="854"/>
          </w:tcPr>
          <w:p>
            <w:pPr>
              <w:spacing w:after="0"/>
              <w:jc w:val="right"/>
            </w:pPr>
            <w:r>
              <w:rPr>
                <w:sz w:val="15"/>
              </w:rPr>
              <w:t>4.50%</w:t>
            </w:r>
          </w:p>
        </w:tc>
        <w:tc>
          <w:tcPr>
            <w:tcW w:type="dxa" w:w="854"/>
          </w:tcPr>
          <w:p>
            <w:pPr>
              <w:spacing w:after="0"/>
            </w:pPr>
            <w:r>
              <w:rPr>
                <w:sz w:val="15"/>
              </w:rPr>
              <w:t>Oct 2030</w:t>
            </w:r>
          </w:p>
        </w:tc>
        <w:tc>
          <w:tcPr>
            <w:tcW w:type="dxa" w:w="854"/>
          </w:tcPr>
          <w:p>
            <w:pPr>
              <w:spacing w:after="0"/>
              <w:jc w:val="right"/>
            </w:pPr>
            <w:r>
              <w:rPr>
                <w:sz w:val="15"/>
              </w:rPr>
              <w:t>41.2</w:t>
            </w:r>
          </w:p>
        </w:tc>
        <w:tc>
          <w:tcPr>
            <w:tcW w:type="dxa" w:w="854"/>
          </w:tcPr>
          <w:p>
            <w:pPr>
              <w:spacing w:after="0"/>
              <w:jc w:val="right"/>
            </w:pPr>
            <w:r>
              <w:rPr>
                <w:sz w:val="15"/>
              </w:rPr>
              <w:t>41.3</w:t>
            </w:r>
          </w:p>
        </w:tc>
        <w:tc>
          <w:tcPr>
            <w:tcW w:type="dxa" w:w="854"/>
          </w:tcPr>
          <w:p>
            <w:pPr>
              <w:spacing w:after="0"/>
              <w:jc w:val="right"/>
            </w:pPr>
            <w:r>
              <w:rPr>
                <w:sz w:val="15"/>
              </w:rPr>
              <w:t>1.00x</w:t>
            </w:r>
          </w:p>
        </w:tc>
        <w:tc>
          <w:tcPr>
            <w:tcW w:type="dxa" w:w="854"/>
          </w:tcPr>
          <w:p>
            <w:pPr>
              <w:spacing w:after="0"/>
              <w:jc w:val="right"/>
            </w:pPr>
            <w:r>
              <w:rPr>
                <w:sz w:val="15"/>
              </w:rPr>
              <w:t>14.8%</w:t>
            </w:r>
          </w:p>
        </w:tc>
      </w:tr>
      <w:tr>
        <w:tc>
          <w:tcPr>
            <w:tcW w:type="dxa" w:w="2118"/>
          </w:tcPr>
          <w:p>
            <w:pPr>
              <w:spacing w:after="0"/>
            </w:pPr>
            <w:r>
              <w:rPr>
                <w:sz w:val="15"/>
              </w:rPr>
              <w:t>NABRICO Marine Products, Inc. (Arcosa Marine)</w:t>
            </w:r>
          </w:p>
        </w:tc>
        <w:tc>
          <w:tcPr>
            <w:tcW w:type="dxa" w:w="2118"/>
          </w:tcPr>
          <w:p>
            <w:pPr>
              <w:spacing w:after="0"/>
            </w:pPr>
            <w:r>
              <w:rPr>
                <w:sz w:val="15"/>
              </w:rPr>
              <w:t>Marine transportation</w:t>
            </w:r>
          </w:p>
        </w:tc>
        <w:tc>
          <w:tcPr>
            <w:tcW w:type="dxa" w:w="854"/>
          </w:tcPr>
          <w:p>
            <w:pPr>
              <w:spacing w:after="0"/>
              <w:jc w:val="right"/>
            </w:pPr>
            <w:r>
              <w:rPr>
                <w:sz w:val="15"/>
              </w:rPr>
              <w:t>5.00%</w:t>
            </w:r>
          </w:p>
        </w:tc>
        <w:tc>
          <w:tcPr>
            <w:tcW w:type="dxa" w:w="854"/>
          </w:tcPr>
          <w:p>
            <w:pPr>
              <w:spacing w:after="0"/>
            </w:pPr>
            <w:r>
              <w:rPr>
                <w:sz w:val="15"/>
              </w:rPr>
              <w:t>Apr 2032</w:t>
            </w:r>
          </w:p>
        </w:tc>
        <w:tc>
          <w:tcPr>
            <w:tcW w:type="dxa" w:w="854"/>
          </w:tcPr>
          <w:p>
            <w:pPr>
              <w:spacing w:after="0"/>
              <w:jc w:val="right"/>
            </w:pPr>
            <w:r>
              <w:rPr>
                <w:sz w:val="15"/>
              </w:rPr>
              <w:t>40.6</w:t>
            </w:r>
          </w:p>
        </w:tc>
        <w:tc>
          <w:tcPr>
            <w:tcW w:type="dxa" w:w="854"/>
          </w:tcPr>
          <w:p>
            <w:pPr>
              <w:spacing w:after="0"/>
              <w:jc w:val="right"/>
            </w:pPr>
            <w:r>
              <w:rPr>
                <w:sz w:val="15"/>
              </w:rPr>
              <w:t>40.7</w:t>
            </w:r>
          </w:p>
        </w:tc>
        <w:tc>
          <w:tcPr>
            <w:tcW w:type="dxa" w:w="854"/>
          </w:tcPr>
          <w:p>
            <w:pPr>
              <w:spacing w:after="0"/>
              <w:jc w:val="right"/>
            </w:pPr>
            <w:r>
              <w:rPr>
                <w:sz w:val="15"/>
              </w:rPr>
              <w:t>1.00x</w:t>
            </w:r>
          </w:p>
        </w:tc>
        <w:tc>
          <w:tcPr>
            <w:tcW w:type="dxa" w:w="854"/>
          </w:tcPr>
          <w:p>
            <w:pPr>
              <w:spacing w:after="0"/>
              <w:jc w:val="right"/>
            </w:pPr>
            <w:r>
              <w:rPr>
                <w:sz w:val="15"/>
              </w:rPr>
              <w:t>14.5%</w:t>
            </w:r>
          </w:p>
        </w:tc>
      </w:tr>
      <w:tr>
        <w:tc>
          <w:tcPr>
            <w:tcW w:type="dxa" w:w="2118"/>
          </w:tcPr>
          <w:p>
            <w:pPr>
              <w:spacing w:after="0"/>
            </w:pPr>
            <w:r>
              <w:rPr>
                <w:sz w:val="15"/>
              </w:rPr>
              <w:t>TechServ Operations, LLC</w:t>
            </w:r>
          </w:p>
        </w:tc>
        <w:tc>
          <w:tcPr>
            <w:tcW w:type="dxa" w:w="2118"/>
          </w:tcPr>
          <w:p>
            <w:pPr>
              <w:spacing w:after="0"/>
            </w:pPr>
            <w:r>
              <w:rPr>
                <w:sz w:val="15"/>
              </w:rPr>
              <w:t>Professional services</w:t>
            </w:r>
          </w:p>
        </w:tc>
        <w:tc>
          <w:tcPr>
            <w:tcW w:type="dxa" w:w="854"/>
          </w:tcPr>
          <w:p>
            <w:pPr>
              <w:spacing w:after="0"/>
              <w:jc w:val="right"/>
            </w:pPr>
            <w:r>
              <w:rPr>
                <w:sz w:val="15"/>
              </w:rPr>
              <w:t>4.75%</w:t>
            </w:r>
          </w:p>
        </w:tc>
        <w:tc>
          <w:tcPr>
            <w:tcW w:type="dxa" w:w="854"/>
          </w:tcPr>
          <w:p>
            <w:pPr>
              <w:spacing w:after="0"/>
            </w:pPr>
            <w:r>
              <w:rPr>
                <w:sz w:val="15"/>
              </w:rPr>
              <w:t>May 2032</w:t>
            </w:r>
          </w:p>
        </w:tc>
        <w:tc>
          <w:tcPr>
            <w:tcW w:type="dxa" w:w="854"/>
          </w:tcPr>
          <w:p>
            <w:pPr>
              <w:spacing w:after="0"/>
              <w:jc w:val="right"/>
            </w:pPr>
            <w:r>
              <w:rPr>
                <w:sz w:val="15"/>
              </w:rPr>
              <w:t>40.5</w:t>
            </w:r>
          </w:p>
        </w:tc>
        <w:tc>
          <w:tcPr>
            <w:tcW w:type="dxa" w:w="854"/>
          </w:tcPr>
          <w:p>
            <w:pPr>
              <w:spacing w:after="0"/>
              <w:jc w:val="right"/>
            </w:pPr>
            <w:r>
              <w:rPr>
                <w:sz w:val="15"/>
              </w:rPr>
              <w:t>40.4</w:t>
            </w:r>
          </w:p>
        </w:tc>
        <w:tc>
          <w:tcPr>
            <w:tcW w:type="dxa" w:w="854"/>
          </w:tcPr>
          <w:p>
            <w:pPr>
              <w:spacing w:after="0"/>
              <w:jc w:val="right"/>
            </w:pPr>
            <w:r>
              <w:rPr>
                <w:sz w:val="15"/>
              </w:rPr>
              <w:t>1.00x</w:t>
            </w:r>
          </w:p>
        </w:tc>
        <w:tc>
          <w:tcPr>
            <w:tcW w:type="dxa" w:w="854"/>
          </w:tcPr>
          <w:p>
            <w:pPr>
              <w:spacing w:after="0"/>
              <w:jc w:val="right"/>
            </w:pPr>
            <w:r>
              <w:rPr>
                <w:sz w:val="15"/>
              </w:rPr>
              <w:t>14.4%</w:t>
            </w:r>
          </w:p>
        </w:tc>
      </w:tr>
      <w:tr>
        <w:tc>
          <w:tcPr>
            <w:tcW w:type="dxa" w:w="2118"/>
          </w:tcPr>
          <w:p>
            <w:pPr>
              <w:spacing w:after="0"/>
            </w:pPr>
            <w:r>
              <w:rPr>
                <w:sz w:val="15"/>
              </w:rPr>
              <w:t>Patriot MCN Buyer Corp. (McNichols)</w:t>
            </w:r>
          </w:p>
        </w:tc>
        <w:tc>
          <w:tcPr>
            <w:tcW w:type="dxa" w:w="2118"/>
          </w:tcPr>
          <w:p>
            <w:pPr>
              <w:spacing w:after="0"/>
            </w:pPr>
            <w:r>
              <w:rPr>
                <w:sz w:val="15"/>
              </w:rPr>
              <w:t>Building products</w:t>
            </w:r>
          </w:p>
        </w:tc>
        <w:tc>
          <w:tcPr>
            <w:tcW w:type="dxa" w:w="854"/>
          </w:tcPr>
          <w:p>
            <w:pPr>
              <w:spacing w:after="0"/>
              <w:jc w:val="right"/>
            </w:pPr>
            <w:r>
              <w:rPr>
                <w:sz w:val="15"/>
              </w:rPr>
              <w:t>4.75%</w:t>
            </w:r>
          </w:p>
        </w:tc>
        <w:tc>
          <w:tcPr>
            <w:tcW w:type="dxa" w:w="854"/>
          </w:tcPr>
          <w:p>
            <w:pPr>
              <w:spacing w:after="0"/>
            </w:pPr>
            <w:r>
              <w:rPr>
                <w:sz w:val="15"/>
              </w:rPr>
              <w:t>Oct 2031</w:t>
            </w:r>
          </w:p>
        </w:tc>
        <w:tc>
          <w:tcPr>
            <w:tcW w:type="dxa" w:w="854"/>
          </w:tcPr>
          <w:p>
            <w:pPr>
              <w:spacing w:after="0"/>
              <w:jc w:val="right"/>
            </w:pPr>
            <w:r>
              <w:rPr>
                <w:sz w:val="15"/>
              </w:rPr>
              <w:t>39.2</w:t>
            </w:r>
          </w:p>
        </w:tc>
        <w:tc>
          <w:tcPr>
            <w:tcW w:type="dxa" w:w="854"/>
          </w:tcPr>
          <w:p>
            <w:pPr>
              <w:spacing w:after="0"/>
              <w:jc w:val="right"/>
            </w:pPr>
            <w:r>
              <w:rPr>
                <w:sz w:val="15"/>
              </w:rPr>
              <w:t>39.5</w:t>
            </w:r>
          </w:p>
        </w:tc>
        <w:tc>
          <w:tcPr>
            <w:tcW w:type="dxa" w:w="854"/>
          </w:tcPr>
          <w:p>
            <w:pPr>
              <w:spacing w:after="0"/>
              <w:jc w:val="right"/>
            </w:pPr>
            <w:r>
              <w:rPr>
                <w:sz w:val="15"/>
              </w:rPr>
              <w:t>1.01x</w:t>
            </w:r>
          </w:p>
        </w:tc>
        <w:tc>
          <w:tcPr>
            <w:tcW w:type="dxa" w:w="854"/>
          </w:tcPr>
          <w:p>
            <w:pPr>
              <w:spacing w:after="0"/>
              <w:jc w:val="right"/>
            </w:pPr>
            <w:r>
              <w:rPr>
                <w:sz w:val="15"/>
              </w:rPr>
              <w:t>14.1%</w:t>
            </w:r>
          </w:p>
        </w:tc>
      </w:tr>
      <w:tr>
        <w:tc>
          <w:tcPr>
            <w:tcW w:type="dxa" w:w="2118"/>
          </w:tcPr>
          <w:p>
            <w:pPr>
              <w:spacing w:after="0"/>
            </w:pPr>
            <w:r>
              <w:rPr>
                <w:sz w:val="15"/>
              </w:rPr>
              <w:t>Frost Buyer, LLC (CraftMark)</w:t>
            </w:r>
          </w:p>
        </w:tc>
        <w:tc>
          <w:tcPr>
            <w:tcW w:type="dxa" w:w="2118"/>
          </w:tcPr>
          <w:p>
            <w:pPr>
              <w:spacing w:after="0"/>
            </w:pPr>
            <w:r>
              <w:rPr>
                <w:sz w:val="15"/>
              </w:rPr>
              <w:t>Food products</w:t>
            </w:r>
          </w:p>
        </w:tc>
        <w:tc>
          <w:tcPr>
            <w:tcW w:type="dxa" w:w="854"/>
          </w:tcPr>
          <w:p>
            <w:pPr>
              <w:spacing w:after="0"/>
              <w:jc w:val="right"/>
            </w:pPr>
            <w:r>
              <w:rPr>
                <w:sz w:val="15"/>
              </w:rPr>
              <w:t>5.25%</w:t>
            </w:r>
          </w:p>
        </w:tc>
        <w:tc>
          <w:tcPr>
            <w:tcW w:type="dxa" w:w="854"/>
          </w:tcPr>
          <w:p>
            <w:pPr>
              <w:spacing w:after="0"/>
            </w:pPr>
            <w:r>
              <w:rPr>
                <w:sz w:val="15"/>
              </w:rPr>
              <w:t>May 2031</w:t>
            </w:r>
          </w:p>
        </w:tc>
        <w:tc>
          <w:tcPr>
            <w:tcW w:type="dxa" w:w="854"/>
          </w:tcPr>
          <w:p>
            <w:pPr>
              <w:spacing w:after="0"/>
              <w:jc w:val="right"/>
            </w:pPr>
            <w:r>
              <w:rPr>
                <w:sz w:val="15"/>
              </w:rPr>
              <w:t>38.6</w:t>
            </w:r>
          </w:p>
        </w:tc>
        <w:tc>
          <w:tcPr>
            <w:tcW w:type="dxa" w:w="854"/>
          </w:tcPr>
          <w:p>
            <w:pPr>
              <w:spacing w:after="0"/>
              <w:jc w:val="right"/>
            </w:pPr>
            <w:r>
              <w:rPr>
                <w:sz w:val="15"/>
              </w:rPr>
              <w:t>38.9</w:t>
            </w:r>
          </w:p>
        </w:tc>
        <w:tc>
          <w:tcPr>
            <w:tcW w:type="dxa" w:w="854"/>
          </w:tcPr>
          <w:p>
            <w:pPr>
              <w:spacing w:after="0"/>
              <w:jc w:val="right"/>
            </w:pPr>
            <w:r>
              <w:rPr>
                <w:sz w:val="15"/>
              </w:rPr>
              <w:t>1.01x</w:t>
            </w:r>
          </w:p>
        </w:tc>
        <w:tc>
          <w:tcPr>
            <w:tcW w:type="dxa" w:w="854"/>
          </w:tcPr>
          <w:p>
            <w:pPr>
              <w:spacing w:after="0"/>
              <w:jc w:val="right"/>
            </w:pPr>
            <w:r>
              <w:rPr>
                <w:sz w:val="15"/>
              </w:rPr>
              <w:t>13.9%</w:t>
            </w:r>
          </w:p>
        </w:tc>
      </w:tr>
      <w:tr>
        <w:tc>
          <w:tcPr>
            <w:tcW w:type="dxa" w:w="2118"/>
          </w:tcPr>
          <w:p>
            <w:pPr>
              <w:spacing w:after="0"/>
            </w:pPr>
            <w:r>
              <w:rPr>
                <w:sz w:val="15"/>
              </w:rPr>
              <w:t>Charter Industries Holdings LLC</w:t>
            </w:r>
          </w:p>
        </w:tc>
        <w:tc>
          <w:tcPr>
            <w:tcW w:type="dxa" w:w="2118"/>
          </w:tcPr>
          <w:p>
            <w:pPr>
              <w:spacing w:after="0"/>
            </w:pPr>
            <w:r>
              <w:rPr>
                <w:sz w:val="15"/>
              </w:rPr>
              <w:t>Construction materials</w:t>
            </w:r>
          </w:p>
        </w:tc>
        <w:tc>
          <w:tcPr>
            <w:tcW w:type="dxa" w:w="854"/>
          </w:tcPr>
          <w:p>
            <w:pPr>
              <w:spacing w:after="0"/>
              <w:jc w:val="right"/>
            </w:pPr>
            <w:r>
              <w:rPr>
                <w:sz w:val="15"/>
              </w:rPr>
              <w:t>4.75%</w:t>
            </w:r>
          </w:p>
        </w:tc>
        <w:tc>
          <w:tcPr>
            <w:tcW w:type="dxa" w:w="854"/>
          </w:tcPr>
          <w:p>
            <w:pPr>
              <w:spacing w:after="0"/>
            </w:pPr>
            <w:r>
              <w:rPr>
                <w:sz w:val="15"/>
              </w:rPr>
              <w:t>Oct 2032</w:t>
            </w:r>
          </w:p>
        </w:tc>
        <w:tc>
          <w:tcPr>
            <w:tcW w:type="dxa" w:w="854"/>
          </w:tcPr>
          <w:p>
            <w:pPr>
              <w:spacing w:after="0"/>
              <w:jc w:val="right"/>
            </w:pPr>
            <w:r>
              <w:rPr>
                <w:sz w:val="15"/>
              </w:rPr>
              <w:t>37.3</w:t>
            </w:r>
          </w:p>
        </w:tc>
        <w:tc>
          <w:tcPr>
            <w:tcW w:type="dxa" w:w="854"/>
          </w:tcPr>
          <w:p>
            <w:pPr>
              <w:spacing w:after="0"/>
              <w:jc w:val="right"/>
            </w:pPr>
            <w:r>
              <w:rPr>
                <w:sz w:val="15"/>
              </w:rPr>
              <w:t>37.2</w:t>
            </w:r>
          </w:p>
        </w:tc>
        <w:tc>
          <w:tcPr>
            <w:tcW w:type="dxa" w:w="854"/>
          </w:tcPr>
          <w:p>
            <w:pPr>
              <w:spacing w:after="0"/>
              <w:jc w:val="right"/>
            </w:pPr>
            <w:r>
              <w:rPr>
                <w:sz w:val="15"/>
              </w:rPr>
              <w:t>1.00x</w:t>
            </w:r>
          </w:p>
        </w:tc>
        <w:tc>
          <w:tcPr>
            <w:tcW w:type="dxa" w:w="854"/>
          </w:tcPr>
          <w:p>
            <w:pPr>
              <w:spacing w:after="0"/>
              <w:jc w:val="right"/>
            </w:pPr>
            <w:r>
              <w:rPr>
                <w:sz w:val="15"/>
              </w:rPr>
              <w:t>13.3%</w:t>
            </w:r>
          </w:p>
        </w:tc>
      </w:tr>
      <w:tr>
        <w:tc>
          <w:tcPr>
            <w:tcW w:type="dxa" w:w="2118"/>
          </w:tcPr>
          <w:p>
            <w:pPr>
              <w:spacing w:after="0"/>
            </w:pPr>
            <w:r>
              <w:rPr>
                <w:sz w:val="15"/>
              </w:rPr>
              <w:t>Everest Acquisitionco, LLC (Lone Peak Dental)</w:t>
            </w:r>
          </w:p>
        </w:tc>
        <w:tc>
          <w:tcPr>
            <w:tcW w:type="dxa" w:w="2118"/>
          </w:tcPr>
          <w:p>
            <w:pPr>
              <w:spacing w:after="0"/>
            </w:pPr>
            <w:r>
              <w:rPr>
                <w:sz w:val="15"/>
              </w:rPr>
              <w:t>Health care providers &amp; services</w:t>
            </w:r>
          </w:p>
        </w:tc>
        <w:tc>
          <w:tcPr>
            <w:tcW w:type="dxa" w:w="854"/>
          </w:tcPr>
          <w:p>
            <w:pPr>
              <w:spacing w:after="0"/>
              <w:jc w:val="right"/>
            </w:pPr>
            <w:r>
              <w:rPr>
                <w:sz w:val="15"/>
              </w:rPr>
              <w:t>5.50%</w:t>
            </w:r>
          </w:p>
        </w:tc>
        <w:tc>
          <w:tcPr>
            <w:tcW w:type="dxa" w:w="854"/>
          </w:tcPr>
          <w:p>
            <w:pPr>
              <w:spacing w:after="0"/>
            </w:pPr>
            <w:r>
              <w:rPr>
                <w:sz w:val="15"/>
              </w:rPr>
              <w:t>May 2031</w:t>
            </w:r>
          </w:p>
        </w:tc>
        <w:tc>
          <w:tcPr>
            <w:tcW w:type="dxa" w:w="854"/>
          </w:tcPr>
          <w:p>
            <w:pPr>
              <w:spacing w:after="0"/>
              <w:jc w:val="right"/>
            </w:pPr>
            <w:r>
              <w:rPr>
                <w:sz w:val="15"/>
              </w:rPr>
              <w:t>21.3</w:t>
            </w:r>
          </w:p>
        </w:tc>
        <w:tc>
          <w:tcPr>
            <w:tcW w:type="dxa" w:w="854"/>
          </w:tcPr>
          <w:p>
            <w:pPr>
              <w:spacing w:after="0"/>
              <w:jc w:val="right"/>
            </w:pPr>
            <w:r>
              <w:rPr>
                <w:sz w:val="15"/>
              </w:rPr>
              <w:t>21.3</w:t>
            </w:r>
          </w:p>
        </w:tc>
        <w:tc>
          <w:tcPr>
            <w:tcW w:type="dxa" w:w="854"/>
          </w:tcPr>
          <w:p>
            <w:pPr>
              <w:spacing w:after="0"/>
              <w:jc w:val="right"/>
            </w:pPr>
            <w:r>
              <w:rPr>
                <w:sz w:val="15"/>
              </w:rPr>
              <w:t>1.00x</w:t>
            </w:r>
          </w:p>
        </w:tc>
        <w:tc>
          <w:tcPr>
            <w:tcW w:type="dxa" w:w="854"/>
          </w:tcPr>
          <w:p>
            <w:pPr>
              <w:spacing w:after="0"/>
              <w:jc w:val="right"/>
            </w:pPr>
            <w:r>
              <w:rPr>
                <w:sz w:val="15"/>
              </w:rPr>
              <w:t>7.6%</w:t>
            </w:r>
          </w:p>
        </w:tc>
      </w:tr>
      <w:tr>
        <w:tc>
          <w:tcPr>
            <w:tcW w:type="dxa" w:w="2118"/>
          </w:tcPr>
          <w:p>
            <w:pPr>
              <w:spacing w:after="0"/>
            </w:pPr>
            <w:r>
              <w:rPr>
                <w:sz w:val="15"/>
              </w:rPr>
              <w:t>Three Rivers Buyer, Inc. (Grant Street)</w:t>
            </w:r>
          </w:p>
        </w:tc>
        <w:tc>
          <w:tcPr>
            <w:tcW w:type="dxa" w:w="2118"/>
          </w:tcPr>
          <w:p>
            <w:pPr>
              <w:spacing w:after="0"/>
            </w:pPr>
            <w:r>
              <w:rPr>
                <w:sz w:val="15"/>
              </w:rPr>
              <w:t>Software</w:t>
            </w:r>
          </w:p>
        </w:tc>
        <w:tc>
          <w:tcPr>
            <w:tcW w:type="dxa" w:w="854"/>
          </w:tcPr>
          <w:p>
            <w:pPr>
              <w:spacing w:after="0"/>
              <w:jc w:val="right"/>
            </w:pPr>
            <w:r>
              <w:rPr>
                <w:sz w:val="15"/>
              </w:rPr>
              <w:t>4.75%</w:t>
            </w:r>
          </w:p>
        </w:tc>
        <w:tc>
          <w:tcPr>
            <w:tcW w:type="dxa" w:w="854"/>
          </w:tcPr>
          <w:p>
            <w:pPr>
              <w:spacing w:after="0"/>
            </w:pPr>
            <w:r>
              <w:rPr>
                <w:sz w:val="15"/>
              </w:rPr>
              <w:t>Nov 2031</w:t>
            </w:r>
          </w:p>
        </w:tc>
        <w:tc>
          <w:tcPr>
            <w:tcW w:type="dxa" w:w="854"/>
          </w:tcPr>
          <w:p>
            <w:pPr>
              <w:spacing w:after="0"/>
              <w:jc w:val="right"/>
            </w:pPr>
            <w:r>
              <w:rPr>
                <w:sz w:val="15"/>
              </w:rPr>
              <w:t>14.4</w:t>
            </w:r>
          </w:p>
        </w:tc>
        <w:tc>
          <w:tcPr>
            <w:tcW w:type="dxa" w:w="854"/>
          </w:tcPr>
          <w:p>
            <w:pPr>
              <w:spacing w:after="0"/>
              <w:jc w:val="right"/>
            </w:pPr>
            <w:r>
              <w:rPr>
                <w:sz w:val="15"/>
              </w:rPr>
              <w:t>14.4</w:t>
            </w:r>
          </w:p>
        </w:tc>
        <w:tc>
          <w:tcPr>
            <w:tcW w:type="dxa" w:w="854"/>
          </w:tcPr>
          <w:p>
            <w:pPr>
              <w:spacing w:after="0"/>
              <w:jc w:val="right"/>
            </w:pPr>
            <w:r>
              <w:rPr>
                <w:sz w:val="15"/>
              </w:rPr>
              <w:t>1.00x</w:t>
            </w:r>
          </w:p>
        </w:tc>
        <w:tc>
          <w:tcPr>
            <w:tcW w:type="dxa" w:w="854"/>
          </w:tcPr>
          <w:p>
            <w:pPr>
              <w:spacing w:after="0"/>
              <w:jc w:val="right"/>
            </w:pPr>
            <w:r>
              <w:rPr>
                <w:sz w:val="15"/>
              </w:rPr>
              <w:t>5.2%</w:t>
            </w:r>
          </w:p>
        </w:tc>
      </w:tr>
      <w:tr>
        <w:tc>
          <w:tcPr>
            <w:tcW w:type="dxa" w:w="2118"/>
          </w:tcPr>
          <w:p>
            <w:pPr>
              <w:spacing w:after="0"/>
            </w:pPr>
            <w:r>
              <w:rPr>
                <w:sz w:val="15"/>
              </w:rPr>
              <w:t>Evaaro Bidco, Inc. (Keg Logistics)</w:t>
            </w:r>
          </w:p>
        </w:tc>
        <w:tc>
          <w:tcPr>
            <w:tcW w:type="dxa" w:w="2118"/>
          </w:tcPr>
          <w:p>
            <w:pPr>
              <w:spacing w:after="0"/>
            </w:pPr>
            <w:r>
              <w:rPr>
                <w:sz w:val="15"/>
              </w:rPr>
              <w:t>Commercial services &amp; supplies</w:t>
            </w:r>
          </w:p>
        </w:tc>
        <w:tc>
          <w:tcPr>
            <w:tcW w:type="dxa" w:w="854"/>
          </w:tcPr>
          <w:p>
            <w:pPr>
              <w:spacing w:after="0"/>
              <w:jc w:val="right"/>
            </w:pPr>
            <w:r>
              <w:rPr>
                <w:sz w:val="15"/>
              </w:rPr>
              <w:t>5.00%</w:t>
            </w:r>
          </w:p>
        </w:tc>
        <w:tc>
          <w:tcPr>
            <w:tcW w:type="dxa" w:w="854"/>
          </w:tcPr>
          <w:p>
            <w:pPr>
              <w:spacing w:after="0"/>
            </w:pPr>
            <w:r>
              <w:rPr>
                <w:sz w:val="15"/>
              </w:rPr>
              <w:t>Apr 2032</w:t>
            </w:r>
          </w:p>
        </w:tc>
        <w:tc>
          <w:tcPr>
            <w:tcW w:type="dxa" w:w="854"/>
          </w:tcPr>
          <w:p>
            <w:pPr>
              <w:spacing w:after="0"/>
              <w:jc w:val="right"/>
            </w:pPr>
            <w:r>
              <w:rPr>
                <w:sz w:val="15"/>
              </w:rPr>
              <w:t>12.4</w:t>
            </w:r>
          </w:p>
        </w:tc>
        <w:tc>
          <w:tcPr>
            <w:tcW w:type="dxa" w:w="854"/>
          </w:tcPr>
          <w:p>
            <w:pPr>
              <w:spacing w:after="0"/>
              <w:jc w:val="right"/>
            </w:pPr>
            <w:r>
              <w:rPr>
                <w:sz w:val="15"/>
              </w:rPr>
              <w:t>12.5</w:t>
            </w:r>
          </w:p>
        </w:tc>
        <w:tc>
          <w:tcPr>
            <w:tcW w:type="dxa" w:w="854"/>
          </w:tcPr>
          <w:p>
            <w:pPr>
              <w:spacing w:after="0"/>
              <w:jc w:val="right"/>
            </w:pPr>
            <w:r>
              <w:rPr>
                <w:sz w:val="15"/>
              </w:rPr>
              <w:t>1.00x</w:t>
            </w:r>
          </w:p>
        </w:tc>
        <w:tc>
          <w:tcPr>
            <w:tcW w:type="dxa" w:w="854"/>
          </w:tcPr>
          <w:p>
            <w:pPr>
              <w:spacing w:after="0"/>
              <w:jc w:val="right"/>
            </w:pPr>
            <w:r>
              <w:rPr>
                <w:sz w:val="15"/>
              </w:rPr>
              <w:t>4.5%</w:t>
            </w:r>
          </w:p>
        </w:tc>
      </w:tr>
      <w:tr>
        <w:tc>
          <w:tcPr>
            <w:tcW w:type="dxa" w:w="2118"/>
          </w:tcPr>
          <w:p>
            <w:pPr>
              <w:spacing w:after="0"/>
            </w:pPr>
            <w:r>
              <w:rPr>
                <w:sz w:val="15"/>
              </w:rPr>
              <w:t>TFG Parent Holdings, LLC (Tidal)</w:t>
            </w:r>
          </w:p>
        </w:tc>
        <w:tc>
          <w:tcPr>
            <w:tcW w:type="dxa" w:w="2118"/>
          </w:tcPr>
          <w:p>
            <w:pPr>
              <w:spacing w:after="0"/>
            </w:pPr>
            <w:r>
              <w:rPr>
                <w:sz w:val="15"/>
              </w:rPr>
              <w:t>Capital markets</w:t>
            </w:r>
          </w:p>
        </w:tc>
        <w:tc>
          <w:tcPr>
            <w:tcW w:type="dxa" w:w="854"/>
          </w:tcPr>
          <w:p>
            <w:pPr>
              <w:spacing w:after="0"/>
              <w:jc w:val="right"/>
            </w:pPr>
            <w:r>
              <w:rPr>
                <w:sz w:val="15"/>
              </w:rPr>
              <w:t>n/a</w:t>
            </w:r>
          </w:p>
        </w:tc>
        <w:tc>
          <w:tcPr>
            <w:tcW w:type="dxa" w:w="854"/>
          </w:tcPr>
          <w:p>
            <w:pPr>
              <w:spacing w:after="0"/>
              <w:jc w:val="right"/>
            </w:pPr>
            <w:r>
              <w:rPr>
                <w:sz w:val="15"/>
              </w:rPr>
              <w:t>n/a</w:t>
            </w:r>
          </w:p>
        </w:tc>
        <w:tc>
          <w:tcPr>
            <w:tcW w:type="dxa" w:w="854"/>
          </w:tcPr>
          <w:p>
            <w:pPr>
              <w:spacing w:after="0"/>
              <w:jc w:val="right"/>
            </w:pPr>
            <w:r>
              <w:rPr>
                <w:sz w:val="15"/>
              </w:rPr>
              <w:t>1.2</w:t>
            </w:r>
          </w:p>
        </w:tc>
        <w:tc>
          <w:tcPr>
            <w:tcW w:type="dxa" w:w="854"/>
          </w:tcPr>
          <w:p>
            <w:pPr>
              <w:spacing w:after="0"/>
              <w:jc w:val="right"/>
            </w:pPr>
            <w:r>
              <w:rPr>
                <w:sz w:val="15"/>
              </w:rPr>
              <w:t>1.9</w:t>
            </w:r>
          </w:p>
        </w:tc>
        <w:tc>
          <w:tcPr>
            <w:tcW w:type="dxa" w:w="854"/>
          </w:tcPr>
          <w:p>
            <w:pPr>
              <w:spacing w:after="0"/>
              <w:jc w:val="right"/>
            </w:pPr>
            <w:r>
              <w:rPr>
                <w:sz w:val="15"/>
              </w:rPr>
              <w:t>1.50x</w:t>
            </w:r>
          </w:p>
        </w:tc>
        <w:tc>
          <w:tcPr>
            <w:tcW w:type="dxa" w:w="854"/>
          </w:tcPr>
          <w:p>
            <w:pPr>
              <w:spacing w:after="0"/>
              <w:jc w:val="right"/>
            </w:pPr>
            <w:r>
              <w:rPr>
                <w:sz w:val="15"/>
              </w:rPr>
              <w:t>0.7%</w:t>
            </w:r>
          </w:p>
        </w:tc>
      </w:tr>
      <w:tr>
        <w:tc>
          <w:tcPr>
            <w:tcW w:type="dxa" w:w="2118"/>
          </w:tcPr>
          <w:p>
            <w:pPr>
              <w:spacing w:after="0"/>
            </w:pPr>
            <w:r>
              <w:rPr>
                <w:b/>
                <w:sz w:val="15"/>
              </w:rPr>
              <w:t>Total (23 positions, 14 issuers)</w:t>
            </w:r>
          </w:p>
        </w:tc>
        <w:tc>
          <w:tcPr>
            <w:tcW w:type="dxa" w:w="2118"/>
          </w:tcPr>
          <w:p>
            <w:pPr>
              <w:spacing w:after="0"/>
            </w:pPr>
          </w:p>
        </w:tc>
        <w:tc>
          <w:tcPr>
            <w:tcW w:type="dxa" w:w="854"/>
          </w:tcPr>
          <w:p>
            <w:pPr>
              <w:spacing w:after="0"/>
            </w:pPr>
          </w:p>
        </w:tc>
        <w:tc>
          <w:tcPr>
            <w:tcW w:type="dxa" w:w="854"/>
          </w:tcPr>
          <w:p>
            <w:pPr>
              <w:spacing w:after="0"/>
            </w:pPr>
          </w:p>
        </w:tc>
        <w:tc>
          <w:tcPr>
            <w:tcW w:type="dxa" w:w="854"/>
          </w:tcPr>
          <w:p>
            <w:pPr>
              <w:spacing w:after="0"/>
              <w:jc w:val="right"/>
            </w:pPr>
            <w:r>
              <w:rPr>
                <w:b/>
                <w:sz w:val="15"/>
              </w:rPr>
              <w:t>458.2</w:t>
            </w:r>
          </w:p>
        </w:tc>
        <w:tc>
          <w:tcPr>
            <w:tcW w:type="dxa" w:w="854"/>
          </w:tcPr>
          <w:p>
            <w:pPr>
              <w:spacing w:after="0"/>
              <w:jc w:val="right"/>
            </w:pPr>
            <w:r>
              <w:rPr>
                <w:b/>
                <w:sz w:val="15"/>
              </w:rPr>
              <w:t>463.0</w:t>
            </w:r>
          </w:p>
        </w:tc>
        <w:tc>
          <w:tcPr>
            <w:tcW w:type="dxa" w:w="854"/>
          </w:tcPr>
          <w:p>
            <w:pPr>
              <w:spacing w:after="0"/>
              <w:jc w:val="right"/>
            </w:pPr>
            <w:r>
              <w:rPr>
                <w:b/>
                <w:sz w:val="15"/>
              </w:rPr>
              <w:t>1.01x</w:t>
            </w:r>
          </w:p>
        </w:tc>
        <w:tc>
          <w:tcPr>
            <w:tcW w:type="dxa" w:w="854"/>
          </w:tcPr>
          <w:p>
            <w:pPr>
              <w:spacing w:after="0"/>
              <w:jc w:val="right"/>
            </w:pPr>
            <w:r>
              <w:rPr>
                <w:b/>
                <w:sz w:val="15"/>
              </w:rPr>
              <w:t>165.7%</w:t>
            </w:r>
          </w:p>
        </w:tc>
      </w:tr>
    </w:tbl>
    <w:p>
      <w:pPr>
        <w:spacing w:after="40"/>
      </w:pPr>
    </w:p>
    <w:p>
      <w:r>
        <w:rPr>
          <w:i/>
          <w:color w:val="5B6475"/>
          <w:sz w:val="16"/>
        </w:rPr>
        <w:t>Source: Form 10-Q Q2-2026, Consolidated Schedule of Investments; positions aggregated by issuer by IC Simulator.</w:t>
      </w:r>
    </w:p>
    <w:p>
      <w:pPr>
        <w:spacing w:after="80"/>
      </w:pPr>
      <w:r>
        <w:rPr>
          <w:b/>
        </w:rPr>
        <w:t>Exhibit 1E: Fund terms relevant to lenders</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4053"/>
        <w:gridCol w:w="5306"/>
      </w:tblGrid>
      <w:tr>
        <w:tc>
          <w:tcPr>
            <w:tcW w:type="dxa" w:w="4054"/>
            <w:shd w:val="clear" w:color="auto" w:fill="E4EAF3"/>
          </w:tcPr>
          <w:p>
            <w:pPr>
              <w:spacing w:after="0"/>
            </w:pPr>
            <w:r>
              <w:rPr>
                <w:b/>
                <w:color w:val="121826"/>
                <w:sz w:val="17"/>
              </w:rPr>
              <w:t>Term</w:t>
            </w:r>
          </w:p>
        </w:tc>
        <w:tc>
          <w:tcPr>
            <w:tcW w:type="dxa" w:w="5306"/>
            <w:shd w:val="clear" w:color="auto" w:fill="E4EAF3"/>
          </w:tcPr>
          <w:p>
            <w:pPr>
              <w:spacing w:after="0"/>
            </w:pPr>
            <w:r>
              <w:rPr>
                <w:b/>
                <w:color w:val="121826"/>
                <w:sz w:val="17"/>
              </w:rPr>
              <w:t>Detail</w:t>
            </w:r>
          </w:p>
        </w:tc>
      </w:tr>
      <w:tr>
        <w:tc>
          <w:tcPr>
            <w:tcW w:type="dxa" w:w="4054"/>
          </w:tcPr>
          <w:p>
            <w:pPr>
              <w:spacing w:after="0"/>
            </w:pPr>
            <w:r>
              <w:rPr>
                <w:sz w:val="17"/>
              </w:rPr>
              <w:t>Fund term</w:t>
            </w:r>
          </w:p>
        </w:tc>
        <w:tc>
          <w:tcPr>
            <w:tcW w:type="dxa" w:w="5306"/>
          </w:tcPr>
          <w:p>
            <w:pPr>
              <w:spacing w:after="0"/>
            </w:pPr>
            <w:r>
              <w:rPr>
                <w:sz w:val="17"/>
              </w:rPr>
              <w:t>Perpetual life; no scheduled termination or liquidity event</w:t>
            </w:r>
          </w:p>
        </w:tc>
      </w:tr>
      <w:tr>
        <w:tc>
          <w:tcPr>
            <w:tcW w:type="dxa" w:w="4054"/>
          </w:tcPr>
          <w:p>
            <w:pPr>
              <w:spacing w:after="0"/>
            </w:pPr>
            <w:r>
              <w:rPr>
                <w:sz w:val="17"/>
              </w:rPr>
              <w:t>Valuation policy</w:t>
            </w:r>
          </w:p>
        </w:tc>
        <w:tc>
          <w:tcPr>
            <w:tcW w:type="dxa" w:w="5306"/>
          </w:tcPr>
          <w:p>
            <w:pPr>
              <w:spacing w:after="0"/>
            </w:pPr>
            <w:r>
              <w:rPr>
                <w:sz w:val="17"/>
              </w:rPr>
              <w:t>Fair value under Board-approved procedures; the Board has designated the Advisor as valuation designee under Rule 2a-5 of the 1940 Act</w:t>
            </w:r>
          </w:p>
        </w:tc>
      </w:tr>
      <w:tr>
        <w:tc>
          <w:tcPr>
            <w:tcW w:type="dxa" w:w="4054"/>
          </w:tcPr>
          <w:p>
            <w:pPr>
              <w:spacing w:after="0"/>
            </w:pPr>
            <w:r>
              <w:rPr>
                <w:sz w:val="17"/>
              </w:rPr>
              <w:t>Borrowing limits</w:t>
            </w:r>
          </w:p>
        </w:tc>
        <w:tc>
          <w:tcPr>
            <w:tcW w:type="dxa" w:w="5306"/>
          </w:tcPr>
          <w:p>
            <w:pPr>
              <w:spacing w:after="0"/>
            </w:pPr>
            <w:r>
              <w:rPr>
                <w:sz w:val="17"/>
              </w:rPr>
              <w:t>1940 Act asset coverage of at least 150% (elected); the credit agreement also caps debt at the limits in the fund's Governing Agreement (Section 10.10)</w:t>
            </w:r>
          </w:p>
        </w:tc>
      </w:tr>
      <w:tr>
        <w:tc>
          <w:tcPr>
            <w:tcW w:type="dxa" w:w="4054"/>
          </w:tcPr>
          <w:p>
            <w:pPr>
              <w:spacing w:after="0"/>
            </w:pPr>
            <w:r>
              <w:rPr>
                <w:sz w:val="17"/>
              </w:rPr>
              <w:t>Capital calls</w:t>
            </w:r>
          </w:p>
        </w:tc>
        <w:tc>
          <w:tcPr>
            <w:tcW w:type="dxa" w:w="5306"/>
          </w:tcPr>
          <w:p>
            <w:pPr>
              <w:spacing w:after="0"/>
            </w:pPr>
            <w:r>
              <w:rPr>
                <w:sz w:val="17"/>
              </w:rPr>
              <w:t>At least ten business days' notice; $20.00 of commitment per share</w:t>
            </w:r>
          </w:p>
        </w:tc>
      </w:tr>
      <w:tr>
        <w:tc>
          <w:tcPr>
            <w:tcW w:type="dxa" w:w="4054"/>
          </w:tcPr>
          <w:p>
            <w:pPr>
              <w:spacing w:after="0"/>
            </w:pPr>
            <w:r>
              <w:rPr>
                <w:sz w:val="17"/>
              </w:rPr>
              <w:t>Distribution history</w:t>
            </w:r>
          </w:p>
        </w:tc>
        <w:tc>
          <w:tcPr>
            <w:tcW w:type="dxa" w:w="5306"/>
          </w:tcPr>
          <w:p>
            <w:pPr>
              <w:spacing w:after="0"/>
            </w:pPr>
            <w:r>
              <w:rPr>
                <w:sz w:val="17"/>
              </w:rPr>
              <w:t>Exhibit 1B, distributions declared row</w:t>
            </w:r>
          </w:p>
        </w:tc>
      </w:tr>
    </w:tbl>
    <w:p>
      <w:pPr>
        <w:spacing w:after="40"/>
      </w:pPr>
    </w:p>
    <w:p>
      <w:r>
        <w:rPr>
          <w:i/>
          <w:color w:val="5B6475"/>
          <w:sz w:val="16"/>
        </w:rPr>
        <w:t>Source: Form 10-K FY2025, Item 1; Form 10-Q Q2-2026, Note 2; Exhibit 10.4.</w:t>
      </w:r>
    </w:p>
    <w:p>
      <w:pPr>
        <w:pStyle w:val="Heading2"/>
      </w:pPr>
      <w:r>
        <w:t>5. Capitalization and sources &amp; uses</w:t>
      </w:r>
    </w:p>
    <w:p>
      <w:pPr>
        <w:spacing w:after="80"/>
      </w:pPr>
      <w:r>
        <w:rPr>
          <w:b/>
        </w:rPr>
        <w:t>Debt and capitalization at Jun 30, 2026</w:t>
      </w:r>
    </w:p>
    <w:p>
      <w:r>
        <w:rPr>
          <w:i/>
          <w:color w:val="5B6475"/>
          <w:sz w:val="16"/>
        </w:rPr>
        <w:t>Units: $ in millions unless stated</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2655"/>
        <w:gridCol w:w="1071"/>
        <w:gridCol w:w="1071"/>
        <w:gridCol w:w="1071"/>
        <w:gridCol w:w="1071"/>
        <w:gridCol w:w="1071"/>
        <w:gridCol w:w="1348"/>
      </w:tblGrid>
      <w:tr>
        <w:tc>
          <w:tcPr>
            <w:tcW w:type="dxa" w:w="2656"/>
            <w:shd w:val="clear" w:color="auto" w:fill="E4EAF3"/>
          </w:tcPr>
          <w:p>
            <w:pPr>
              <w:spacing w:after="0"/>
            </w:pPr>
            <w:r>
              <w:rPr>
                <w:b/>
                <w:color w:val="121826"/>
                <w:sz w:val="15"/>
              </w:rPr>
              <w:t>Facility</w:t>
            </w:r>
          </w:p>
        </w:tc>
        <w:tc>
          <w:tcPr>
            <w:tcW w:type="dxa" w:w="1071"/>
            <w:shd w:val="clear" w:color="auto" w:fill="E4EAF3"/>
          </w:tcPr>
          <w:p>
            <w:pPr>
              <w:spacing w:after="0"/>
            </w:pPr>
            <w:r>
              <w:rPr>
                <w:b/>
                <w:color w:val="121826"/>
                <w:sz w:val="15"/>
              </w:rPr>
              <w:t>Commitment</w:t>
            </w:r>
          </w:p>
        </w:tc>
        <w:tc>
          <w:tcPr>
            <w:tcW w:type="dxa" w:w="1071"/>
            <w:shd w:val="clear" w:color="auto" w:fill="E4EAF3"/>
          </w:tcPr>
          <w:p>
            <w:pPr>
              <w:spacing w:after="0"/>
            </w:pPr>
            <w:r>
              <w:rPr>
                <w:b/>
                <w:color w:val="121826"/>
                <w:sz w:val="15"/>
              </w:rPr>
              <w:t>Drawn</w:t>
            </w:r>
          </w:p>
        </w:tc>
        <w:tc>
          <w:tcPr>
            <w:tcW w:type="dxa" w:w="1071"/>
            <w:shd w:val="clear" w:color="auto" w:fill="E4EAF3"/>
          </w:tcPr>
          <w:p>
            <w:pPr>
              <w:spacing w:after="0"/>
            </w:pPr>
            <w:r>
              <w:rPr>
                <w:b/>
                <w:color w:val="121826"/>
                <w:sz w:val="15"/>
              </w:rPr>
              <w:t>Cumulative drawn</w:t>
            </w:r>
          </w:p>
        </w:tc>
        <w:tc>
          <w:tcPr>
            <w:tcW w:type="dxa" w:w="1071"/>
            <w:shd w:val="clear" w:color="auto" w:fill="E4EAF3"/>
          </w:tcPr>
          <w:p>
            <w:pPr>
              <w:spacing w:after="0"/>
            </w:pPr>
            <w:r>
              <w:rPr>
                <w:b/>
                <w:color w:val="121826"/>
                <w:sz w:val="15"/>
              </w:rPr>
              <w:t>Cumulative drawn ÷ net assets</w:t>
            </w:r>
          </w:p>
        </w:tc>
        <w:tc>
          <w:tcPr>
            <w:tcW w:type="dxa" w:w="1071"/>
            <w:shd w:val="clear" w:color="auto" w:fill="E4EAF3"/>
          </w:tcPr>
          <w:p>
            <w:pPr>
              <w:spacing w:after="0"/>
            </w:pPr>
            <w:r>
              <w:rPr>
                <w:b/>
                <w:color w:val="121826"/>
                <w:sz w:val="15"/>
              </w:rPr>
              <w:t>Pricing</w:t>
            </w:r>
          </w:p>
        </w:tc>
        <w:tc>
          <w:tcPr>
            <w:tcW w:type="dxa" w:w="1348"/>
            <w:shd w:val="clear" w:color="auto" w:fill="E4EAF3"/>
          </w:tcPr>
          <w:p>
            <w:pPr>
              <w:spacing w:after="0"/>
            </w:pPr>
            <w:r>
              <w:rPr>
                <w:b/>
                <w:color w:val="121826"/>
                <w:sz w:val="15"/>
              </w:rPr>
              <w:t>Maturity</w:t>
            </w:r>
          </w:p>
        </w:tc>
      </w:tr>
      <w:tr>
        <w:tc>
          <w:tcPr>
            <w:tcW w:type="dxa" w:w="2656"/>
          </w:tcPr>
          <w:p>
            <w:pPr>
              <w:spacing w:after="0"/>
            </w:pPr>
            <w:r>
              <w:rPr>
                <w:sz w:val="15"/>
              </w:rPr>
              <w:t>Subscription line (Natixis)</w:t>
            </w:r>
          </w:p>
        </w:tc>
        <w:tc>
          <w:tcPr>
            <w:tcW w:type="dxa" w:w="1071"/>
          </w:tcPr>
          <w:p>
            <w:pPr>
              <w:spacing w:after="0"/>
              <w:jc w:val="right"/>
            </w:pPr>
            <w:r>
              <w:rPr>
                <w:sz w:val="15"/>
              </w:rPr>
              <w:t>200.0</w:t>
            </w:r>
          </w:p>
        </w:tc>
        <w:tc>
          <w:tcPr>
            <w:tcW w:type="dxa" w:w="1071"/>
          </w:tcPr>
          <w:p>
            <w:pPr>
              <w:spacing w:after="0"/>
              <w:jc w:val="right"/>
            </w:pPr>
            <w:r>
              <w:rPr>
                <w:sz w:val="15"/>
              </w:rPr>
              <w:t>105.2</w:t>
            </w:r>
          </w:p>
        </w:tc>
        <w:tc>
          <w:tcPr>
            <w:tcW w:type="dxa" w:w="1071"/>
          </w:tcPr>
          <w:p>
            <w:pPr>
              <w:spacing w:after="0"/>
              <w:jc w:val="right"/>
            </w:pPr>
            <w:r>
              <w:rPr>
                <w:sz w:val="15"/>
              </w:rPr>
              <w:t>105.2</w:t>
            </w:r>
          </w:p>
        </w:tc>
        <w:tc>
          <w:tcPr>
            <w:tcW w:type="dxa" w:w="1071"/>
          </w:tcPr>
          <w:p>
            <w:pPr>
              <w:spacing w:after="0"/>
              <w:jc w:val="right"/>
            </w:pPr>
            <w:r>
              <w:rPr>
                <w:sz w:val="15"/>
              </w:rPr>
              <w:t>0.38x</w:t>
            </w:r>
          </w:p>
        </w:tc>
        <w:tc>
          <w:tcPr>
            <w:tcW w:type="dxa" w:w="1071"/>
          </w:tcPr>
          <w:p>
            <w:pPr>
              <w:spacing w:after="0"/>
            </w:pPr>
            <w:r>
              <w:rPr>
                <w:sz w:val="15"/>
              </w:rPr>
              <w:t>S + 2.10%</w:t>
            </w:r>
          </w:p>
        </w:tc>
        <w:tc>
          <w:tcPr>
            <w:tcW w:type="dxa" w:w="1348"/>
          </w:tcPr>
          <w:p>
            <w:pPr>
              <w:spacing w:after="0"/>
            </w:pPr>
            <w:r>
              <w:rPr>
                <w:sz w:val="15"/>
              </w:rPr>
              <w:t>Apr 21, 2027</w:t>
            </w:r>
          </w:p>
        </w:tc>
      </w:tr>
      <w:tr>
        <w:tc>
          <w:tcPr>
            <w:tcW w:type="dxa" w:w="2656"/>
          </w:tcPr>
          <w:p>
            <w:pPr>
              <w:spacing w:after="0"/>
            </w:pPr>
            <w:r>
              <w:rPr>
                <w:sz w:val="15"/>
              </w:rPr>
              <w:t>Asset-based revolver (Barings)</w:t>
            </w:r>
          </w:p>
        </w:tc>
        <w:tc>
          <w:tcPr>
            <w:tcW w:type="dxa" w:w="1071"/>
          </w:tcPr>
          <w:p>
            <w:pPr>
              <w:spacing w:after="0"/>
              <w:jc w:val="right"/>
            </w:pPr>
            <w:r>
              <w:rPr>
                <w:sz w:val="15"/>
              </w:rPr>
              <w:t>25.0</w:t>
            </w:r>
          </w:p>
        </w:tc>
        <w:tc>
          <w:tcPr>
            <w:tcW w:type="dxa" w:w="1071"/>
          </w:tcPr>
          <w:p>
            <w:pPr>
              <w:spacing w:after="0"/>
              <w:jc w:val="right"/>
            </w:pPr>
            <w:r>
              <w:rPr>
                <w:sz w:val="15"/>
              </w:rPr>
              <w:t>25.0</w:t>
            </w:r>
          </w:p>
        </w:tc>
        <w:tc>
          <w:tcPr>
            <w:tcW w:type="dxa" w:w="1071"/>
          </w:tcPr>
          <w:p>
            <w:pPr>
              <w:spacing w:after="0"/>
              <w:jc w:val="right"/>
            </w:pPr>
            <w:r>
              <w:rPr>
                <w:sz w:val="15"/>
              </w:rPr>
              <w:t>130.2</w:t>
            </w:r>
          </w:p>
        </w:tc>
        <w:tc>
          <w:tcPr>
            <w:tcW w:type="dxa" w:w="1071"/>
          </w:tcPr>
          <w:p>
            <w:pPr>
              <w:spacing w:after="0"/>
              <w:jc w:val="right"/>
            </w:pPr>
            <w:r>
              <w:rPr>
                <w:sz w:val="15"/>
              </w:rPr>
              <w:t>0.47x</w:t>
            </w:r>
          </w:p>
        </w:tc>
        <w:tc>
          <w:tcPr>
            <w:tcW w:type="dxa" w:w="1071"/>
          </w:tcPr>
          <w:p>
            <w:pPr>
              <w:spacing w:after="0"/>
            </w:pPr>
            <w:r>
              <w:rPr>
                <w:sz w:val="15"/>
              </w:rPr>
              <w:t>S + 2.35%</w:t>
            </w:r>
          </w:p>
        </w:tc>
        <w:tc>
          <w:tcPr>
            <w:tcW w:type="dxa" w:w="1348"/>
          </w:tcPr>
          <w:p>
            <w:pPr>
              <w:spacing w:after="0"/>
            </w:pPr>
            <w:r>
              <w:rPr>
                <w:sz w:val="15"/>
              </w:rPr>
              <w:t>Jan 23, 2029</w:t>
            </w:r>
          </w:p>
        </w:tc>
      </w:tr>
      <w:tr>
        <w:tc>
          <w:tcPr>
            <w:tcW w:type="dxa" w:w="2656"/>
          </w:tcPr>
          <w:p>
            <w:pPr>
              <w:spacing w:after="0"/>
            </w:pPr>
            <w:r>
              <w:rPr>
                <w:sz w:val="15"/>
              </w:rPr>
              <w:t>Asset-based delayed-draw term loan</w:t>
            </w:r>
          </w:p>
        </w:tc>
        <w:tc>
          <w:tcPr>
            <w:tcW w:type="dxa" w:w="1071"/>
          </w:tcPr>
          <w:p>
            <w:pPr>
              <w:spacing w:after="0"/>
              <w:jc w:val="right"/>
            </w:pPr>
            <w:r>
              <w:rPr>
                <w:sz w:val="15"/>
              </w:rPr>
              <w:t>450.0</w:t>
            </w:r>
          </w:p>
        </w:tc>
        <w:tc>
          <w:tcPr>
            <w:tcW w:type="dxa" w:w="1071"/>
          </w:tcPr>
          <w:p>
            <w:pPr>
              <w:spacing w:after="0"/>
              <w:jc w:val="right"/>
            </w:pPr>
            <w:r>
              <w:rPr>
                <w:sz w:val="15"/>
              </w:rPr>
              <w:t>105.0</w:t>
            </w:r>
          </w:p>
        </w:tc>
        <w:tc>
          <w:tcPr>
            <w:tcW w:type="dxa" w:w="1071"/>
          </w:tcPr>
          <w:p>
            <w:pPr>
              <w:spacing w:after="0"/>
              <w:jc w:val="right"/>
            </w:pPr>
            <w:r>
              <w:rPr>
                <w:sz w:val="15"/>
              </w:rPr>
              <w:t>235.2</w:t>
            </w:r>
          </w:p>
        </w:tc>
        <w:tc>
          <w:tcPr>
            <w:tcW w:type="dxa" w:w="1071"/>
          </w:tcPr>
          <w:p>
            <w:pPr>
              <w:spacing w:after="0"/>
              <w:jc w:val="right"/>
            </w:pPr>
            <w:r>
              <w:rPr>
                <w:sz w:val="15"/>
              </w:rPr>
              <w:t>0.84x</w:t>
            </w:r>
          </w:p>
        </w:tc>
        <w:tc>
          <w:tcPr>
            <w:tcW w:type="dxa" w:w="1071"/>
          </w:tcPr>
          <w:p>
            <w:pPr>
              <w:spacing w:after="0"/>
            </w:pPr>
            <w:r>
              <w:rPr>
                <w:sz w:val="15"/>
              </w:rPr>
              <w:t>S + 2.35%</w:t>
            </w:r>
          </w:p>
        </w:tc>
        <w:tc>
          <w:tcPr>
            <w:tcW w:type="dxa" w:w="1348"/>
          </w:tcPr>
          <w:p>
            <w:pPr>
              <w:spacing w:after="0"/>
            </w:pPr>
            <w:r>
              <w:rPr>
                <w:sz w:val="15"/>
              </w:rPr>
              <w:t>Jan 23, 2036</w:t>
            </w:r>
          </w:p>
        </w:tc>
      </w:tr>
      <w:tr>
        <w:tc>
          <w:tcPr>
            <w:tcW w:type="dxa" w:w="2656"/>
          </w:tcPr>
          <w:p>
            <w:pPr>
              <w:spacing w:after="0"/>
            </w:pPr>
            <w:r>
              <w:rPr>
                <w:b/>
                <w:sz w:val="15"/>
              </w:rPr>
              <w:t>Total debt</w:t>
            </w:r>
          </w:p>
        </w:tc>
        <w:tc>
          <w:tcPr>
            <w:tcW w:type="dxa" w:w="1071"/>
          </w:tcPr>
          <w:p>
            <w:pPr>
              <w:spacing w:after="0"/>
              <w:jc w:val="right"/>
            </w:pPr>
            <w:r>
              <w:rPr>
                <w:b/>
                <w:sz w:val="15"/>
              </w:rPr>
              <w:t>675.0</w:t>
            </w:r>
          </w:p>
        </w:tc>
        <w:tc>
          <w:tcPr>
            <w:tcW w:type="dxa" w:w="1071"/>
          </w:tcPr>
          <w:p>
            <w:pPr>
              <w:spacing w:after="0"/>
              <w:jc w:val="right"/>
            </w:pPr>
            <w:r>
              <w:rPr>
                <w:b/>
                <w:sz w:val="15"/>
              </w:rPr>
              <w:t>235.2</w:t>
            </w:r>
          </w:p>
        </w:tc>
        <w:tc>
          <w:tcPr>
            <w:tcW w:type="dxa" w:w="1071"/>
          </w:tcPr>
          <w:p>
            <w:pPr>
              <w:spacing w:after="0"/>
            </w:pPr>
          </w:p>
        </w:tc>
        <w:tc>
          <w:tcPr>
            <w:tcW w:type="dxa" w:w="1071"/>
          </w:tcPr>
          <w:p>
            <w:pPr>
              <w:spacing w:after="0"/>
            </w:pPr>
          </w:p>
        </w:tc>
        <w:tc>
          <w:tcPr>
            <w:tcW w:type="dxa" w:w="1071"/>
          </w:tcPr>
          <w:p>
            <w:pPr>
              <w:spacing w:after="0"/>
            </w:pPr>
          </w:p>
        </w:tc>
        <w:tc>
          <w:tcPr>
            <w:tcW w:type="dxa" w:w="1348"/>
          </w:tcPr>
          <w:p>
            <w:pPr>
              <w:spacing w:after="0"/>
            </w:pPr>
          </w:p>
        </w:tc>
      </w:tr>
      <w:tr>
        <w:tc>
          <w:tcPr>
            <w:tcW w:type="dxa" w:w="2656"/>
          </w:tcPr>
          <w:p>
            <w:pPr>
              <w:spacing w:after="0"/>
            </w:pPr>
            <w:r>
              <w:rPr>
                <w:sz w:val="15"/>
              </w:rPr>
              <w:t>Net assets</w:t>
            </w:r>
          </w:p>
        </w:tc>
        <w:tc>
          <w:tcPr>
            <w:tcW w:type="dxa" w:w="1071"/>
          </w:tcPr>
          <w:p>
            <w:pPr>
              <w:spacing w:after="0"/>
            </w:pPr>
          </w:p>
        </w:tc>
        <w:tc>
          <w:tcPr>
            <w:tcW w:type="dxa" w:w="1071"/>
          </w:tcPr>
          <w:p>
            <w:pPr>
              <w:spacing w:after="0"/>
              <w:jc w:val="right"/>
            </w:pPr>
            <w:r>
              <w:rPr>
                <w:sz w:val="15"/>
              </w:rPr>
              <w:t>279.5</w:t>
            </w:r>
          </w:p>
        </w:tc>
        <w:tc>
          <w:tcPr>
            <w:tcW w:type="dxa" w:w="1071"/>
          </w:tcPr>
          <w:p>
            <w:pPr>
              <w:spacing w:after="0"/>
            </w:pPr>
          </w:p>
        </w:tc>
        <w:tc>
          <w:tcPr>
            <w:tcW w:type="dxa" w:w="1071"/>
          </w:tcPr>
          <w:p>
            <w:pPr>
              <w:spacing w:after="0"/>
            </w:pPr>
          </w:p>
        </w:tc>
        <w:tc>
          <w:tcPr>
            <w:tcW w:type="dxa" w:w="1071"/>
          </w:tcPr>
          <w:p>
            <w:pPr>
              <w:spacing w:after="0"/>
            </w:pPr>
          </w:p>
        </w:tc>
        <w:tc>
          <w:tcPr>
            <w:tcW w:type="dxa" w:w="1348"/>
          </w:tcPr>
          <w:p>
            <w:pPr>
              <w:spacing w:after="0"/>
            </w:pPr>
          </w:p>
        </w:tc>
      </w:tr>
    </w:tbl>
    <w:p>
      <w:pPr>
        <w:spacing w:after="40"/>
      </w:pPr>
    </w:p>
    <w:p>
      <w:r>
        <w:rPr>
          <w:i/>
          <w:color w:val="5B6475"/>
          <w:sz w:val="16"/>
        </w:rPr>
        <w:t>Source: Form 10-Q Q2-2026, Note 7 and Financial Highlights (credit facilities payable $235.2M). Debt ÷ net assets is on drawn principal.</w:t>
      </w:r>
    </w:p>
    <w:p>
      <w:pPr>
        <w:spacing w:after="80"/>
      </w:pPr>
      <w:r>
        <w:rPr>
          <w:b/>
        </w:rPr>
        <w:t>Renewal sources and uses (HYPOTHETICAL request)</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3334"/>
        <w:gridCol w:w="1345"/>
        <w:gridCol w:w="3334"/>
        <w:gridCol w:w="1345"/>
      </w:tblGrid>
      <w:tr>
        <w:tc>
          <w:tcPr>
            <w:tcW w:type="dxa" w:w="3335"/>
            <w:shd w:val="clear" w:color="auto" w:fill="E4EAF3"/>
          </w:tcPr>
          <w:p>
            <w:pPr>
              <w:spacing w:after="0"/>
            </w:pPr>
            <w:r>
              <w:rPr>
                <w:b/>
                <w:color w:val="121826"/>
                <w:sz w:val="17"/>
              </w:rPr>
              <w:t>Sources</w:t>
            </w:r>
          </w:p>
        </w:tc>
        <w:tc>
          <w:tcPr>
            <w:tcW w:type="dxa" w:w="1345"/>
            <w:shd w:val="clear" w:color="auto" w:fill="E4EAF3"/>
          </w:tcPr>
          <w:p>
            <w:pPr>
              <w:spacing w:after="0"/>
            </w:pPr>
            <w:r>
              <w:rPr>
                <w:b/>
                <w:color w:val="121826"/>
                <w:sz w:val="17"/>
              </w:rPr>
              <w:t>$M</w:t>
            </w:r>
          </w:p>
        </w:tc>
        <w:tc>
          <w:tcPr>
            <w:tcW w:type="dxa" w:w="3335"/>
            <w:shd w:val="clear" w:color="auto" w:fill="E4EAF3"/>
          </w:tcPr>
          <w:p>
            <w:pPr>
              <w:spacing w:after="0"/>
            </w:pPr>
            <w:r>
              <w:rPr>
                <w:b/>
                <w:color w:val="121826"/>
                <w:sz w:val="17"/>
              </w:rPr>
              <w:t>Uses</w:t>
            </w:r>
          </w:p>
        </w:tc>
        <w:tc>
          <w:tcPr>
            <w:tcW w:type="dxa" w:w="1345"/>
            <w:shd w:val="clear" w:color="auto" w:fill="E4EAF3"/>
          </w:tcPr>
          <w:p>
            <w:pPr>
              <w:spacing w:after="0"/>
            </w:pPr>
            <w:r>
              <w:rPr>
                <w:b/>
                <w:color w:val="121826"/>
                <w:sz w:val="17"/>
              </w:rPr>
              <w:t>$M</w:t>
            </w:r>
          </w:p>
        </w:tc>
      </w:tr>
      <w:tr>
        <w:tc>
          <w:tcPr>
            <w:tcW w:type="dxa" w:w="3335"/>
          </w:tcPr>
          <w:p>
            <w:pPr>
              <w:spacing w:after="0"/>
            </w:pPr>
            <w:r>
              <w:rPr>
                <w:sz w:val="17"/>
              </w:rPr>
              <w:t>Natixis commitment, extended</w:t>
            </w:r>
          </w:p>
        </w:tc>
        <w:tc>
          <w:tcPr>
            <w:tcW w:type="dxa" w:w="1345"/>
          </w:tcPr>
          <w:p>
            <w:pPr>
              <w:spacing w:after="0"/>
              <w:jc w:val="right"/>
            </w:pPr>
            <w:r>
              <w:rPr>
                <w:sz w:val="17"/>
              </w:rPr>
              <w:t>200.0</w:t>
            </w:r>
          </w:p>
        </w:tc>
        <w:tc>
          <w:tcPr>
            <w:tcW w:type="dxa" w:w="3335"/>
          </w:tcPr>
          <w:p>
            <w:pPr>
              <w:spacing w:after="0"/>
            </w:pPr>
            <w:r>
              <w:rPr>
                <w:sz w:val="17"/>
              </w:rPr>
              <w:t>Existing $200.0M commitment, extended to Apr 21, 2029</w:t>
            </w:r>
          </w:p>
        </w:tc>
        <w:tc>
          <w:tcPr>
            <w:tcW w:type="dxa" w:w="1345"/>
          </w:tcPr>
          <w:p>
            <w:pPr>
              <w:spacing w:after="0"/>
              <w:jc w:val="right"/>
            </w:pPr>
            <w:r>
              <w:rPr>
                <w:sz w:val="17"/>
              </w:rPr>
              <w:t>200.0</w:t>
            </w:r>
          </w:p>
        </w:tc>
      </w:tr>
      <w:tr>
        <w:tc>
          <w:tcPr>
            <w:tcW w:type="dxa" w:w="3335"/>
          </w:tcPr>
          <w:p>
            <w:pPr>
              <w:spacing w:after="0"/>
            </w:pPr>
            <w:r>
              <w:rPr>
                <w:sz w:val="17"/>
              </w:rPr>
              <w:t>Calloway new commitment</w:t>
            </w:r>
          </w:p>
        </w:tc>
        <w:tc>
          <w:tcPr>
            <w:tcW w:type="dxa" w:w="1345"/>
          </w:tcPr>
          <w:p>
            <w:pPr>
              <w:spacing w:after="0"/>
              <w:jc w:val="right"/>
            </w:pPr>
            <w:r>
              <w:rPr>
                <w:sz w:val="17"/>
              </w:rPr>
              <w:t>50.0</w:t>
            </w:r>
          </w:p>
        </w:tc>
        <w:tc>
          <w:tcPr>
            <w:tcW w:type="dxa" w:w="3335"/>
          </w:tcPr>
          <w:p>
            <w:pPr>
              <w:spacing w:after="0"/>
            </w:pPr>
            <w:r>
              <w:rPr>
                <w:sz w:val="17"/>
              </w:rPr>
              <w:t>New revolving capacity</w:t>
            </w:r>
          </w:p>
        </w:tc>
        <w:tc>
          <w:tcPr>
            <w:tcW w:type="dxa" w:w="1345"/>
          </w:tcPr>
          <w:p>
            <w:pPr>
              <w:spacing w:after="0"/>
              <w:jc w:val="right"/>
            </w:pPr>
            <w:r>
              <w:rPr>
                <w:sz w:val="17"/>
              </w:rPr>
              <w:t>50.0</w:t>
            </w:r>
          </w:p>
        </w:tc>
      </w:tr>
      <w:tr>
        <w:tc>
          <w:tcPr>
            <w:tcW w:type="dxa" w:w="3335"/>
          </w:tcPr>
          <w:p>
            <w:pPr>
              <w:spacing w:after="0"/>
            </w:pPr>
            <w:r>
              <w:rPr>
                <w:sz w:val="17"/>
              </w:rPr>
              <w:t>Fund cash on hand (Jun 30: $46.3M)</w:t>
            </w:r>
          </w:p>
        </w:tc>
        <w:tc>
          <w:tcPr>
            <w:tcW w:type="dxa" w:w="1345"/>
          </w:tcPr>
          <w:p>
            <w:pPr>
              <w:spacing w:after="0"/>
              <w:jc w:val="right"/>
            </w:pPr>
            <w:r>
              <w:rPr>
                <w:sz w:val="17"/>
              </w:rPr>
              <w:t>0.5</w:t>
            </w:r>
          </w:p>
        </w:tc>
        <w:tc>
          <w:tcPr>
            <w:tcW w:type="dxa" w:w="3335"/>
          </w:tcPr>
          <w:p>
            <w:pPr>
              <w:spacing w:after="0"/>
            </w:pPr>
            <w:r>
              <w:rPr>
                <w:sz w:val="17"/>
              </w:rPr>
              <w:t>Upfront fee: 0.20% × $250.0M</w:t>
            </w:r>
          </w:p>
        </w:tc>
        <w:tc>
          <w:tcPr>
            <w:tcW w:type="dxa" w:w="1345"/>
          </w:tcPr>
          <w:p>
            <w:pPr>
              <w:spacing w:after="0"/>
              <w:jc w:val="right"/>
            </w:pPr>
            <w:r>
              <w:rPr>
                <w:sz w:val="17"/>
              </w:rPr>
              <w:t>0.5</w:t>
            </w:r>
          </w:p>
        </w:tc>
      </w:tr>
      <w:tr>
        <w:tc>
          <w:tcPr>
            <w:tcW w:type="dxa" w:w="3335"/>
          </w:tcPr>
          <w:p>
            <w:pPr>
              <w:spacing w:after="0"/>
            </w:pPr>
            <w:r>
              <w:rPr>
                <w:b/>
                <w:sz w:val="17"/>
              </w:rPr>
              <w:t>Total</w:t>
            </w:r>
          </w:p>
        </w:tc>
        <w:tc>
          <w:tcPr>
            <w:tcW w:type="dxa" w:w="1345"/>
          </w:tcPr>
          <w:p>
            <w:pPr>
              <w:spacing w:after="0"/>
              <w:jc w:val="right"/>
            </w:pPr>
            <w:r>
              <w:rPr>
                <w:b/>
                <w:sz w:val="17"/>
              </w:rPr>
              <w:t>250.5</w:t>
            </w:r>
          </w:p>
        </w:tc>
        <w:tc>
          <w:tcPr>
            <w:tcW w:type="dxa" w:w="3335"/>
          </w:tcPr>
          <w:p>
            <w:pPr>
              <w:spacing w:after="0"/>
            </w:pPr>
            <w:r>
              <w:rPr>
                <w:b/>
                <w:sz w:val="17"/>
              </w:rPr>
              <w:t>Total</w:t>
            </w:r>
          </w:p>
        </w:tc>
        <w:tc>
          <w:tcPr>
            <w:tcW w:type="dxa" w:w="1345"/>
          </w:tcPr>
          <w:p>
            <w:pPr>
              <w:spacing w:after="0"/>
              <w:jc w:val="right"/>
            </w:pPr>
            <w:r>
              <w:rPr>
                <w:b/>
                <w:sz w:val="17"/>
              </w:rPr>
              <w:t>250.5</w:t>
            </w:r>
          </w:p>
        </w:tc>
      </w:tr>
    </w:tbl>
    <w:p>
      <w:pPr>
        <w:spacing w:after="40"/>
      </w:pPr>
    </w:p>
    <w:p>
      <w:pPr>
        <w:spacing w:after="80"/>
      </w:pPr>
      <w:r>
        <w:rPr>
          <w:i/>
        </w:rPr>
        <w:t>No borrowing at closing: the renewal changes commitments, not drawn balances. Legal costs not yet estimated (n/d).</w:t>
      </w:r>
    </w:p>
    <w:p>
      <w:pPr>
        <w:pStyle w:val="Heading2"/>
      </w:pPr>
      <w:r>
        <w:t>6. Fund finance data: commitments, investors and the borrowing base (Exhibits 2 and 3)</w:t>
      </w:r>
    </w:p>
    <w:p>
      <w:pPr>
        <w:spacing w:after="80"/>
      </w:pPr>
      <w:r>
        <w:rPr>
          <w:b/>
        </w:rPr>
        <w:t>Exhibit 2A: Commitments and undrawn commitments</w:t>
      </w:r>
    </w:p>
    <w:p>
      <w:r>
        <w:rPr>
          <w:i/>
          <w:color w:val="5B6475"/>
          <w:sz w:val="16"/>
        </w:rPr>
        <w:t>Units: $ in millions</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4235"/>
        <w:gridCol w:w="1708"/>
        <w:gridCol w:w="1708"/>
        <w:gridCol w:w="1708"/>
      </w:tblGrid>
      <w:tr>
        <w:tc>
          <w:tcPr>
            <w:tcW w:type="dxa" w:w="4235"/>
            <w:shd w:val="clear" w:color="auto" w:fill="E4EAF3"/>
          </w:tcPr>
          <w:p>
            <w:pPr>
              <w:spacing w:after="0"/>
            </w:pPr>
            <w:r>
              <w:rPr>
                <w:b/>
                <w:color w:val="121826"/>
                <w:sz w:val="17"/>
              </w:rPr>
              <w:t>$ in millions</w:t>
            </w:r>
          </w:p>
        </w:tc>
        <w:tc>
          <w:tcPr>
            <w:tcW w:type="dxa" w:w="1708"/>
            <w:shd w:val="clear" w:color="auto" w:fill="E4EAF3"/>
          </w:tcPr>
          <w:p>
            <w:pPr>
              <w:spacing w:after="0"/>
            </w:pPr>
            <w:r>
              <w:rPr>
                <w:b/>
                <w:color w:val="121826"/>
                <w:sz w:val="17"/>
              </w:rPr>
              <w:t>Dec-25A</w:t>
            </w:r>
          </w:p>
        </w:tc>
        <w:tc>
          <w:tcPr>
            <w:tcW w:type="dxa" w:w="1708"/>
            <w:shd w:val="clear" w:color="auto" w:fill="E4EAF3"/>
          </w:tcPr>
          <w:p>
            <w:pPr>
              <w:spacing w:after="0"/>
            </w:pPr>
            <w:r>
              <w:rPr>
                <w:b/>
                <w:color w:val="121826"/>
                <w:sz w:val="17"/>
              </w:rPr>
              <w:t>Mar-26A</w:t>
            </w:r>
          </w:p>
        </w:tc>
        <w:tc>
          <w:tcPr>
            <w:tcW w:type="dxa" w:w="1708"/>
            <w:shd w:val="clear" w:color="auto" w:fill="E4EAF3"/>
          </w:tcPr>
          <w:p>
            <w:pPr>
              <w:spacing w:after="0"/>
            </w:pPr>
            <w:r>
              <w:rPr>
                <w:b/>
                <w:color w:val="121826"/>
                <w:sz w:val="17"/>
              </w:rPr>
              <w:t>Jun-26A</w:t>
            </w:r>
          </w:p>
        </w:tc>
      </w:tr>
      <w:tr>
        <w:tc>
          <w:tcPr>
            <w:tcW w:type="dxa" w:w="4235"/>
          </w:tcPr>
          <w:p>
            <w:pPr>
              <w:spacing w:after="0"/>
            </w:pPr>
            <w:r>
              <w:rPr>
                <w:sz w:val="17"/>
              </w:rPr>
              <w:t>Capital commitments</w:t>
            </w:r>
          </w:p>
        </w:tc>
        <w:tc>
          <w:tcPr>
            <w:tcW w:type="dxa" w:w="1708"/>
          </w:tcPr>
          <w:p>
            <w:pPr>
              <w:spacing w:after="0"/>
              <w:jc w:val="right"/>
            </w:pPr>
            <w:r>
              <w:rPr>
                <w:sz w:val="17"/>
              </w:rPr>
              <w:t>441.6</w:t>
            </w:r>
          </w:p>
        </w:tc>
        <w:tc>
          <w:tcPr>
            <w:tcW w:type="dxa" w:w="1708"/>
          </w:tcPr>
          <w:p>
            <w:pPr>
              <w:spacing w:after="0"/>
              <w:jc w:val="right"/>
            </w:pPr>
            <w:r>
              <w:rPr>
                <w:sz w:val="17"/>
              </w:rPr>
              <w:t>574.6</w:t>
            </w:r>
          </w:p>
        </w:tc>
        <w:tc>
          <w:tcPr>
            <w:tcW w:type="dxa" w:w="1708"/>
          </w:tcPr>
          <w:p>
            <w:pPr>
              <w:spacing w:after="0"/>
              <w:jc w:val="right"/>
            </w:pPr>
            <w:r>
              <w:rPr>
                <w:sz w:val="17"/>
              </w:rPr>
              <w:t>576.0</w:t>
            </w:r>
          </w:p>
        </w:tc>
      </w:tr>
      <w:tr>
        <w:tc>
          <w:tcPr>
            <w:tcW w:type="dxa" w:w="4235"/>
          </w:tcPr>
          <w:p>
            <w:pPr>
              <w:spacing w:after="0"/>
            </w:pPr>
            <w:r>
              <w:rPr>
                <w:sz w:val="17"/>
              </w:rPr>
              <w:t>Undrawn commitments</w:t>
            </w:r>
          </w:p>
        </w:tc>
        <w:tc>
          <w:tcPr>
            <w:tcW w:type="dxa" w:w="1708"/>
          </w:tcPr>
          <w:p>
            <w:pPr>
              <w:spacing w:after="0"/>
              <w:jc w:val="right"/>
            </w:pPr>
            <w:r>
              <w:rPr>
                <w:sz w:val="17"/>
              </w:rPr>
              <w:t>321.6</w:t>
            </w:r>
          </w:p>
        </w:tc>
        <w:tc>
          <w:tcPr>
            <w:tcW w:type="dxa" w:w="1708"/>
          </w:tcPr>
          <w:p>
            <w:pPr>
              <w:spacing w:after="0"/>
              <w:jc w:val="right"/>
            </w:pPr>
            <w:r>
              <w:rPr>
                <w:sz w:val="17"/>
              </w:rPr>
              <w:t>334.9</w:t>
            </w:r>
          </w:p>
        </w:tc>
        <w:tc>
          <w:tcPr>
            <w:tcW w:type="dxa" w:w="1708"/>
          </w:tcPr>
          <w:p>
            <w:pPr>
              <w:spacing w:after="0"/>
              <w:jc w:val="right"/>
            </w:pPr>
            <w:r>
              <w:rPr>
                <w:sz w:val="17"/>
              </w:rPr>
              <w:t>297.4</w:t>
            </w:r>
          </w:p>
        </w:tc>
      </w:tr>
      <w:tr>
        <w:tc>
          <w:tcPr>
            <w:tcW w:type="dxa" w:w="4235"/>
          </w:tcPr>
          <w:p>
            <w:pPr>
              <w:spacing w:after="0"/>
            </w:pPr>
            <w:r>
              <w:rPr>
                <w:sz w:val="17"/>
              </w:rPr>
              <w:t>Share of commitments funded, as reported</w:t>
            </w:r>
          </w:p>
        </w:tc>
        <w:tc>
          <w:tcPr>
            <w:tcW w:type="dxa" w:w="1708"/>
          </w:tcPr>
          <w:p>
            <w:pPr>
              <w:spacing w:after="0"/>
              <w:jc w:val="right"/>
            </w:pPr>
            <w:r>
              <w:rPr>
                <w:sz w:val="17"/>
              </w:rPr>
              <w:t>27.2%</w:t>
            </w:r>
          </w:p>
        </w:tc>
        <w:tc>
          <w:tcPr>
            <w:tcW w:type="dxa" w:w="1708"/>
          </w:tcPr>
          <w:p>
            <w:pPr>
              <w:spacing w:after="0"/>
              <w:jc w:val="right"/>
            </w:pPr>
            <w:r>
              <w:rPr>
                <w:sz w:val="17"/>
              </w:rPr>
              <w:t>41.7%</w:t>
            </w:r>
          </w:p>
        </w:tc>
        <w:tc>
          <w:tcPr>
            <w:tcW w:type="dxa" w:w="1708"/>
          </w:tcPr>
          <w:p>
            <w:pPr>
              <w:spacing w:after="0"/>
              <w:jc w:val="right"/>
            </w:pPr>
            <w:r>
              <w:rPr>
                <w:sz w:val="17"/>
              </w:rPr>
              <w:t>48.4%</w:t>
            </w:r>
          </w:p>
        </w:tc>
      </w:tr>
      <w:tr>
        <w:tc>
          <w:tcPr>
            <w:tcW w:type="dxa" w:w="4235"/>
          </w:tcPr>
          <w:p>
            <w:pPr>
              <w:spacing w:after="0"/>
            </w:pPr>
            <w:r>
              <w:rPr>
                <w:sz w:val="17"/>
              </w:rPr>
              <w:t>Subscription line Maximum Commitment</w:t>
            </w:r>
          </w:p>
        </w:tc>
        <w:tc>
          <w:tcPr>
            <w:tcW w:type="dxa" w:w="1708"/>
          </w:tcPr>
          <w:p>
            <w:pPr>
              <w:spacing w:after="0"/>
              <w:jc w:val="right"/>
            </w:pPr>
            <w:r>
              <w:rPr>
                <w:sz w:val="17"/>
              </w:rPr>
              <w:t>250.0</w:t>
            </w:r>
          </w:p>
        </w:tc>
        <w:tc>
          <w:tcPr>
            <w:tcW w:type="dxa" w:w="1708"/>
          </w:tcPr>
          <w:p>
            <w:pPr>
              <w:spacing w:after="0"/>
              <w:jc w:val="right"/>
            </w:pPr>
            <w:r>
              <w:rPr>
                <w:sz w:val="17"/>
              </w:rPr>
              <w:t>200.0</w:t>
            </w:r>
          </w:p>
        </w:tc>
        <w:tc>
          <w:tcPr>
            <w:tcW w:type="dxa" w:w="1708"/>
          </w:tcPr>
          <w:p>
            <w:pPr>
              <w:spacing w:after="0"/>
              <w:jc w:val="right"/>
            </w:pPr>
            <w:r>
              <w:rPr>
                <w:sz w:val="17"/>
              </w:rPr>
              <w:t>200.0</w:t>
            </w:r>
          </w:p>
        </w:tc>
      </w:tr>
      <w:tr>
        <w:tc>
          <w:tcPr>
            <w:tcW w:type="dxa" w:w="4235"/>
          </w:tcPr>
          <w:p>
            <w:pPr>
              <w:spacing w:after="0"/>
            </w:pPr>
            <w:r>
              <w:rPr>
                <w:sz w:val="17"/>
              </w:rPr>
              <w:t>Subscription line borrowings outstanding</w:t>
            </w:r>
          </w:p>
        </w:tc>
        <w:tc>
          <w:tcPr>
            <w:tcW w:type="dxa" w:w="1708"/>
          </w:tcPr>
          <w:p>
            <w:pPr>
              <w:spacing w:after="0"/>
              <w:jc w:val="right"/>
            </w:pPr>
            <w:r>
              <w:rPr>
                <w:sz w:val="17"/>
              </w:rPr>
              <w:t>223.8</w:t>
            </w:r>
          </w:p>
        </w:tc>
        <w:tc>
          <w:tcPr>
            <w:tcW w:type="dxa" w:w="1708"/>
          </w:tcPr>
          <w:p>
            <w:pPr>
              <w:spacing w:after="0"/>
              <w:jc w:val="right"/>
            </w:pPr>
            <w:r>
              <w:rPr>
                <w:sz w:val="17"/>
              </w:rPr>
              <w:t>88.1</w:t>
            </w:r>
          </w:p>
        </w:tc>
        <w:tc>
          <w:tcPr>
            <w:tcW w:type="dxa" w:w="1708"/>
          </w:tcPr>
          <w:p>
            <w:pPr>
              <w:spacing w:after="0"/>
              <w:jc w:val="right"/>
            </w:pPr>
            <w:r>
              <w:rPr>
                <w:sz w:val="17"/>
              </w:rPr>
              <w:t>105.2</w:t>
            </w:r>
          </w:p>
        </w:tc>
      </w:tr>
      <w:tr>
        <w:tc>
          <w:tcPr>
            <w:tcW w:type="dxa" w:w="4235"/>
          </w:tcPr>
          <w:p>
            <w:pPr>
              <w:spacing w:after="0"/>
            </w:pPr>
            <w:r>
              <w:rPr>
                <w:sz w:val="17"/>
              </w:rPr>
              <w:t>Subscription line available amount</w:t>
            </w:r>
          </w:p>
        </w:tc>
        <w:tc>
          <w:tcPr>
            <w:tcW w:type="dxa" w:w="1708"/>
          </w:tcPr>
          <w:p>
            <w:pPr>
              <w:spacing w:after="0"/>
              <w:jc w:val="right"/>
            </w:pPr>
            <w:r>
              <w:rPr>
                <w:sz w:val="17"/>
              </w:rPr>
              <w:t>26.2</w:t>
            </w:r>
          </w:p>
        </w:tc>
        <w:tc>
          <w:tcPr>
            <w:tcW w:type="dxa" w:w="1708"/>
          </w:tcPr>
          <w:p>
            <w:pPr>
              <w:spacing w:after="0"/>
              <w:jc w:val="right"/>
            </w:pPr>
            <w:r>
              <w:rPr>
                <w:sz w:val="17"/>
              </w:rPr>
              <w:t>84.5</w:t>
            </w:r>
          </w:p>
        </w:tc>
        <w:tc>
          <w:tcPr>
            <w:tcW w:type="dxa" w:w="1708"/>
          </w:tcPr>
          <w:p>
            <w:pPr>
              <w:spacing w:after="0"/>
              <w:jc w:val="right"/>
            </w:pPr>
            <w:r>
              <w:rPr>
                <w:sz w:val="17"/>
              </w:rPr>
              <w:t>15.0</w:t>
            </w:r>
          </w:p>
        </w:tc>
      </w:tr>
      <w:tr>
        <w:tc>
          <w:tcPr>
            <w:tcW w:type="dxa" w:w="4235"/>
          </w:tcPr>
          <w:p>
            <w:pPr>
              <w:spacing w:after="0"/>
            </w:pPr>
            <w:r>
              <w:rPr>
                <w:sz w:val="17"/>
              </w:rPr>
              <w:t>Asset-based facility borrowings outstanding</w:t>
            </w:r>
          </w:p>
        </w:tc>
        <w:tc>
          <w:tcPr>
            <w:tcW w:type="dxa" w:w="1708"/>
          </w:tcPr>
          <w:p>
            <w:pPr>
              <w:spacing w:after="0"/>
              <w:jc w:val="right"/>
            </w:pPr>
            <w:r>
              <w:rPr>
                <w:sz w:val="17"/>
              </w:rPr>
              <w:t>0.0</w:t>
            </w:r>
          </w:p>
        </w:tc>
        <w:tc>
          <w:tcPr>
            <w:tcW w:type="dxa" w:w="1708"/>
          </w:tcPr>
          <w:p>
            <w:pPr>
              <w:spacing w:after="0"/>
              <w:jc w:val="right"/>
            </w:pPr>
            <w:r>
              <w:rPr>
                <w:sz w:val="17"/>
              </w:rPr>
              <w:t>105.0</w:t>
            </w:r>
          </w:p>
        </w:tc>
        <w:tc>
          <w:tcPr>
            <w:tcW w:type="dxa" w:w="1708"/>
          </w:tcPr>
          <w:p>
            <w:pPr>
              <w:spacing w:after="0"/>
              <w:jc w:val="right"/>
            </w:pPr>
            <w:r>
              <w:rPr>
                <w:sz w:val="17"/>
              </w:rPr>
              <w:t>130.0</w:t>
            </w:r>
          </w:p>
        </w:tc>
      </w:tr>
      <w:tr>
        <w:tc>
          <w:tcPr>
            <w:tcW w:type="dxa" w:w="4235"/>
          </w:tcPr>
          <w:p>
            <w:pPr>
              <w:spacing w:after="0"/>
            </w:pPr>
            <w:r>
              <w:rPr>
                <w:sz w:val="17"/>
              </w:rPr>
              <w:t>Asset-based facility available amount</w:t>
            </w:r>
          </w:p>
        </w:tc>
        <w:tc>
          <w:tcPr>
            <w:tcW w:type="dxa" w:w="1708"/>
          </w:tcPr>
          <w:p>
            <w:pPr>
              <w:spacing w:after="0"/>
              <w:jc w:val="right"/>
            </w:pPr>
            <w:r>
              <w:rPr>
                <w:sz w:val="17"/>
              </w:rPr>
              <w:t>0.0</w:t>
            </w:r>
          </w:p>
        </w:tc>
        <w:tc>
          <w:tcPr>
            <w:tcW w:type="dxa" w:w="1708"/>
          </w:tcPr>
          <w:p>
            <w:pPr>
              <w:spacing w:after="0"/>
              <w:jc w:val="right"/>
            </w:pPr>
            <w:r>
              <w:rPr>
                <w:sz w:val="17"/>
              </w:rPr>
              <w:t>102.0</w:t>
            </w:r>
          </w:p>
        </w:tc>
        <w:tc>
          <w:tcPr>
            <w:tcW w:type="dxa" w:w="1708"/>
          </w:tcPr>
          <w:p>
            <w:pPr>
              <w:spacing w:after="0"/>
              <w:jc w:val="right"/>
            </w:pPr>
            <w:r>
              <w:rPr>
                <w:sz w:val="17"/>
              </w:rPr>
              <w:t>121.0</w:t>
            </w:r>
          </w:p>
        </w:tc>
      </w:tr>
    </w:tbl>
    <w:p>
      <w:pPr>
        <w:spacing w:after="40"/>
      </w:pPr>
    </w:p>
    <w:p>
      <w:r>
        <w:rPr>
          <w:i/>
          <w:color w:val="5B6475"/>
          <w:sz w:val="16"/>
        </w:rPr>
        <w:t>Source: Form 10-K FY2025 Item 7; Forms 10-Q Q1-2026 Note 1 and Q2-2026 Item 2; Note 7 in each. The filed footnote on 'available amount' reads: "The amount available considers any limitations related to the debt facility borrowing." The $250.0M at Dec-25 is a temporary level that ran until Jan 30, 2026.</w:t>
      </w:r>
    </w:p>
    <w:p>
      <w:pPr>
        <w:spacing w:after="80"/>
      </w:pPr>
      <w:r>
        <w:rPr>
          <w:b/>
        </w:rPr>
        <w:t>Exhibit 2B: Commitment closings and capital calls</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5180"/>
        <w:gridCol w:w="2089"/>
        <w:gridCol w:w="2089"/>
      </w:tblGrid>
      <w:tr>
        <w:tc>
          <w:tcPr>
            <w:tcW w:type="dxa" w:w="5181"/>
            <w:shd w:val="clear" w:color="auto" w:fill="E4EAF3"/>
          </w:tcPr>
          <w:p>
            <w:pPr>
              <w:spacing w:after="0"/>
            </w:pPr>
            <w:r>
              <w:rPr>
                <w:b/>
                <w:color w:val="121826"/>
                <w:sz w:val="17"/>
              </w:rPr>
              <w:t>Event</w:t>
            </w:r>
          </w:p>
        </w:tc>
        <w:tc>
          <w:tcPr>
            <w:tcW w:type="dxa" w:w="2090"/>
            <w:shd w:val="clear" w:color="auto" w:fill="E4EAF3"/>
          </w:tcPr>
          <w:p>
            <w:pPr>
              <w:spacing w:after="0"/>
            </w:pPr>
            <w:r>
              <w:rPr>
                <w:b/>
                <w:color w:val="121826"/>
                <w:sz w:val="17"/>
              </w:rPr>
              <w:t>Amount ($M)</w:t>
            </w:r>
          </w:p>
        </w:tc>
        <w:tc>
          <w:tcPr>
            <w:tcW w:type="dxa" w:w="2090"/>
            <w:shd w:val="clear" w:color="auto" w:fill="E4EAF3"/>
          </w:tcPr>
          <w:p>
            <w:pPr>
              <w:spacing w:after="0"/>
            </w:pPr>
            <w:r>
              <w:rPr>
                <w:b/>
                <w:color w:val="121826"/>
                <w:sz w:val="17"/>
              </w:rPr>
              <w:t>Shares issued</w:t>
            </w:r>
          </w:p>
        </w:tc>
      </w:tr>
      <w:tr>
        <w:tc>
          <w:tcPr>
            <w:tcW w:type="dxa" w:w="5181"/>
          </w:tcPr>
          <w:p>
            <w:pPr>
              <w:spacing w:after="0"/>
            </w:pPr>
            <w:r>
              <w:rPr>
                <w:sz w:val="17"/>
              </w:rPr>
              <w:t>Commitments, closing of Feb 5, 2025 (initial closing)</w:t>
            </w:r>
          </w:p>
        </w:tc>
        <w:tc>
          <w:tcPr>
            <w:tcW w:type="dxa" w:w="2090"/>
          </w:tcPr>
          <w:p>
            <w:pPr>
              <w:spacing w:after="0"/>
              <w:jc w:val="right"/>
            </w:pPr>
            <w:r>
              <w:rPr>
                <w:sz w:val="17"/>
              </w:rPr>
              <w:t>105.2</w:t>
            </w:r>
          </w:p>
        </w:tc>
        <w:tc>
          <w:tcPr>
            <w:tcW w:type="dxa" w:w="2090"/>
          </w:tcPr>
          <w:p>
            <w:pPr>
              <w:spacing w:after="0"/>
              <w:jc w:val="right"/>
            </w:pPr>
            <w:r>
              <w:rPr>
                <w:sz w:val="17"/>
              </w:rPr>
              <w:t>n/a</w:t>
            </w:r>
          </w:p>
        </w:tc>
      </w:tr>
      <w:tr>
        <w:tc>
          <w:tcPr>
            <w:tcW w:type="dxa" w:w="5181"/>
          </w:tcPr>
          <w:p>
            <w:pPr>
              <w:spacing w:after="0"/>
            </w:pPr>
            <w:r>
              <w:rPr>
                <w:sz w:val="17"/>
              </w:rPr>
              <w:t>Commitments, closing of Apr 8, 2025</w:t>
            </w:r>
          </w:p>
        </w:tc>
        <w:tc>
          <w:tcPr>
            <w:tcW w:type="dxa" w:w="2090"/>
          </w:tcPr>
          <w:p>
            <w:pPr>
              <w:spacing w:after="0"/>
              <w:jc w:val="right"/>
            </w:pPr>
            <w:r>
              <w:rPr>
                <w:sz w:val="17"/>
              </w:rPr>
              <w:t>21.0</w:t>
            </w:r>
          </w:p>
        </w:tc>
        <w:tc>
          <w:tcPr>
            <w:tcW w:type="dxa" w:w="2090"/>
          </w:tcPr>
          <w:p>
            <w:pPr>
              <w:spacing w:after="0"/>
              <w:jc w:val="right"/>
            </w:pPr>
            <w:r>
              <w:rPr>
                <w:sz w:val="17"/>
              </w:rPr>
              <w:t>n/a</w:t>
            </w:r>
          </w:p>
        </w:tc>
      </w:tr>
      <w:tr>
        <w:tc>
          <w:tcPr>
            <w:tcW w:type="dxa" w:w="5181"/>
          </w:tcPr>
          <w:p>
            <w:pPr>
              <w:spacing w:after="0"/>
            </w:pPr>
            <w:r>
              <w:rPr>
                <w:sz w:val="17"/>
              </w:rPr>
              <w:t>Commitments, closing of Aug 22, 2025</w:t>
            </w:r>
          </w:p>
        </w:tc>
        <w:tc>
          <w:tcPr>
            <w:tcW w:type="dxa" w:w="2090"/>
          </w:tcPr>
          <w:p>
            <w:pPr>
              <w:spacing w:after="0"/>
              <w:jc w:val="right"/>
            </w:pPr>
            <w:r>
              <w:rPr>
                <w:sz w:val="17"/>
              </w:rPr>
              <w:t>315.5</w:t>
            </w:r>
          </w:p>
        </w:tc>
        <w:tc>
          <w:tcPr>
            <w:tcW w:type="dxa" w:w="2090"/>
          </w:tcPr>
          <w:p>
            <w:pPr>
              <w:spacing w:after="0"/>
              <w:jc w:val="right"/>
            </w:pPr>
            <w:r>
              <w:rPr>
                <w:sz w:val="17"/>
              </w:rPr>
              <w:t>n/a</w:t>
            </w:r>
          </w:p>
        </w:tc>
      </w:tr>
      <w:tr>
        <w:tc>
          <w:tcPr>
            <w:tcW w:type="dxa" w:w="5181"/>
          </w:tcPr>
          <w:p>
            <w:pPr>
              <w:spacing w:after="0"/>
            </w:pPr>
            <w:r>
              <w:rPr>
                <w:sz w:val="17"/>
              </w:rPr>
              <w:t>Capital received: FY2025 (inception to Dec 31, 2025)</w:t>
            </w:r>
          </w:p>
        </w:tc>
        <w:tc>
          <w:tcPr>
            <w:tcW w:type="dxa" w:w="2090"/>
          </w:tcPr>
          <w:p>
            <w:pPr>
              <w:spacing w:after="0"/>
              <w:jc w:val="right"/>
            </w:pPr>
            <w:r>
              <w:rPr>
                <w:sz w:val="17"/>
              </w:rPr>
              <w:t>120.0</w:t>
            </w:r>
          </w:p>
        </w:tc>
        <w:tc>
          <w:tcPr>
            <w:tcW w:type="dxa" w:w="2090"/>
          </w:tcPr>
          <w:p>
            <w:pPr>
              <w:spacing w:after="0"/>
              <w:jc w:val="right"/>
            </w:pPr>
            <w:r>
              <w:rPr>
                <w:sz w:val="17"/>
              </w:rPr>
              <w:t>n/a</w:t>
            </w:r>
          </w:p>
        </w:tc>
      </w:tr>
      <w:tr>
        <w:tc>
          <w:tcPr>
            <w:tcW w:type="dxa" w:w="5181"/>
          </w:tcPr>
          <w:p>
            <w:pPr>
              <w:spacing w:after="0"/>
            </w:pPr>
            <w:r>
              <w:rPr>
                <w:sz w:val="17"/>
              </w:rPr>
              <w:t>Capital received: Jan 5, 2026</w:t>
            </w:r>
          </w:p>
        </w:tc>
        <w:tc>
          <w:tcPr>
            <w:tcW w:type="dxa" w:w="2090"/>
          </w:tcPr>
          <w:p>
            <w:pPr>
              <w:spacing w:after="0"/>
              <w:jc w:val="right"/>
            </w:pPr>
            <w:r>
              <w:rPr>
                <w:sz w:val="17"/>
              </w:rPr>
              <w:t>120.0</w:t>
            </w:r>
          </w:p>
        </w:tc>
        <w:tc>
          <w:tcPr>
            <w:tcW w:type="dxa" w:w="2090"/>
          </w:tcPr>
          <w:p>
            <w:pPr>
              <w:spacing w:after="0"/>
              <w:jc w:val="right"/>
            </w:pPr>
            <w:r>
              <w:rPr>
                <w:sz w:val="17"/>
              </w:rPr>
              <w:t>6,079,159</w:t>
            </w:r>
          </w:p>
        </w:tc>
      </w:tr>
      <w:tr>
        <w:tc>
          <w:tcPr>
            <w:tcW w:type="dxa" w:w="5181"/>
          </w:tcPr>
          <w:p>
            <w:pPr>
              <w:spacing w:after="0"/>
            </w:pPr>
            <w:r>
              <w:rPr>
                <w:sz w:val="17"/>
              </w:rPr>
              <w:t>Capital received: Apr 1, 2026</w:t>
            </w:r>
          </w:p>
        </w:tc>
        <w:tc>
          <w:tcPr>
            <w:tcW w:type="dxa" w:w="2090"/>
          </w:tcPr>
          <w:p>
            <w:pPr>
              <w:spacing w:after="0"/>
              <w:jc w:val="right"/>
            </w:pPr>
            <w:r>
              <w:rPr>
                <w:sz w:val="17"/>
              </w:rPr>
              <w:t>38.6</w:t>
            </w:r>
          </w:p>
        </w:tc>
        <w:tc>
          <w:tcPr>
            <w:tcW w:type="dxa" w:w="2090"/>
          </w:tcPr>
          <w:p>
            <w:pPr>
              <w:spacing w:after="0"/>
              <w:jc w:val="right"/>
            </w:pPr>
            <w:r>
              <w:rPr>
                <w:sz w:val="17"/>
              </w:rPr>
              <w:t>1,912,451</w:t>
            </w:r>
          </w:p>
        </w:tc>
      </w:tr>
      <w:tr>
        <w:tc>
          <w:tcPr>
            <w:tcW w:type="dxa" w:w="5181"/>
          </w:tcPr>
          <w:p>
            <w:pPr>
              <w:spacing w:after="0"/>
            </w:pPr>
            <w:r>
              <w:rPr>
                <w:sz w:val="17"/>
              </w:rPr>
              <w:t>Capital received: Jul 1, 2026 (subsequent event)</w:t>
            </w:r>
          </w:p>
        </w:tc>
        <w:tc>
          <w:tcPr>
            <w:tcW w:type="dxa" w:w="2090"/>
          </w:tcPr>
          <w:p>
            <w:pPr>
              <w:spacing w:after="0"/>
              <w:jc w:val="right"/>
            </w:pPr>
            <w:r>
              <w:rPr>
                <w:sz w:val="17"/>
              </w:rPr>
              <w:t>99.2</w:t>
            </w:r>
          </w:p>
        </w:tc>
        <w:tc>
          <w:tcPr>
            <w:tcW w:type="dxa" w:w="2090"/>
          </w:tcPr>
          <w:p>
            <w:pPr>
              <w:spacing w:after="0"/>
              <w:jc w:val="right"/>
            </w:pPr>
            <w:r>
              <w:rPr>
                <w:sz w:val="17"/>
              </w:rPr>
              <w:t>4,972,035</w:t>
            </w:r>
          </w:p>
        </w:tc>
      </w:tr>
    </w:tbl>
    <w:p>
      <w:pPr>
        <w:spacing w:after="40"/>
      </w:pPr>
    </w:p>
    <w:p>
      <w:r>
        <w:rPr>
          <w:i/>
          <w:color w:val="5B6475"/>
          <w:sz w:val="16"/>
        </w:rPr>
        <w:t>Source: Form 10-K FY2025 Items 1 and 7; Forms 10-Q Q1-2026 and Q2-2026 (Notes 1 and 12). The fund also recorded a $0.3M return of capital in FY2025, which is recallable.</w:t>
      </w:r>
    </w:p>
    <w:p>
      <w:pPr>
        <w:spacing w:after="80"/>
      </w:pPr>
      <w:r>
        <w:rPr>
          <w:b/>
        </w:rPr>
        <w:t>Exhibit 3A: Investor roster at Jun 30, 2026 (HYPOTHETICAL roster; real totals)</w:t>
      </w:r>
    </w:p>
    <w:p>
      <w:r>
        <w:rPr>
          <w:i/>
          <w:color w:val="5B6475"/>
          <w:sz w:val="16"/>
        </w:rPr>
        <w:t>Units: $ in millions. Pending call = share of the July 1, 2026 call ($99.2M) not yet funded at Jun 30, shown pro rata to unfunded commitments.</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1537"/>
        <w:gridCol w:w="1537"/>
        <w:gridCol w:w="1537"/>
        <w:gridCol w:w="728"/>
        <w:gridCol w:w="1537"/>
        <w:gridCol w:w="620"/>
        <w:gridCol w:w="620"/>
        <w:gridCol w:w="620"/>
        <w:gridCol w:w="620"/>
      </w:tblGrid>
      <w:tr>
        <w:tc>
          <w:tcPr>
            <w:tcW w:type="dxa" w:w="1538"/>
            <w:shd w:val="clear" w:color="auto" w:fill="E4EAF3"/>
          </w:tcPr>
          <w:p>
            <w:pPr>
              <w:spacing w:after="0"/>
            </w:pPr>
            <w:r>
              <w:rPr>
                <w:b/>
                <w:color w:val="121826"/>
                <w:sz w:val="14"/>
              </w:rPr>
              <w:t>Investor</w:t>
            </w:r>
          </w:p>
        </w:tc>
        <w:tc>
          <w:tcPr>
            <w:tcW w:type="dxa" w:w="1538"/>
            <w:shd w:val="clear" w:color="auto" w:fill="E4EAF3"/>
          </w:tcPr>
          <w:p>
            <w:pPr>
              <w:spacing w:after="0"/>
            </w:pPr>
            <w:r>
              <w:rPr>
                <w:b/>
                <w:color w:val="121826"/>
                <w:sz w:val="14"/>
              </w:rPr>
              <w:t>Type</w:t>
            </w:r>
          </w:p>
        </w:tc>
        <w:tc>
          <w:tcPr>
            <w:tcW w:type="dxa" w:w="1538"/>
            <w:shd w:val="clear" w:color="auto" w:fill="E4EAF3"/>
          </w:tcPr>
          <w:p>
            <w:pPr>
              <w:spacing w:after="0"/>
            </w:pPr>
            <w:r>
              <w:rPr>
                <w:b/>
                <w:color w:val="121826"/>
                <w:sz w:val="14"/>
              </w:rPr>
              <w:t>Classification</w:t>
            </w:r>
          </w:p>
        </w:tc>
        <w:tc>
          <w:tcPr>
            <w:tcW w:type="dxa" w:w="728"/>
            <w:shd w:val="clear" w:color="auto" w:fill="E4EAF3"/>
          </w:tcPr>
          <w:p>
            <w:pPr>
              <w:spacing w:after="0"/>
            </w:pPr>
            <w:r>
              <w:rPr>
                <w:b/>
                <w:color w:val="121826"/>
                <w:sz w:val="14"/>
              </w:rPr>
              <w:t>Rating (S&amp;P / Moody's)</w:t>
            </w:r>
          </w:p>
        </w:tc>
        <w:tc>
          <w:tcPr>
            <w:tcW w:type="dxa" w:w="1538"/>
            <w:shd w:val="clear" w:color="auto" w:fill="E4EAF3"/>
          </w:tcPr>
          <w:p>
            <w:pPr>
              <w:spacing w:after="0"/>
            </w:pPr>
            <w:r>
              <w:rPr>
                <w:b/>
                <w:color w:val="121826"/>
                <w:sz w:val="14"/>
              </w:rPr>
              <w:t>Other eligibility data</w:t>
            </w:r>
          </w:p>
        </w:tc>
        <w:tc>
          <w:tcPr>
            <w:tcW w:type="dxa" w:w="620"/>
            <w:shd w:val="clear" w:color="auto" w:fill="E4EAF3"/>
          </w:tcPr>
          <w:p>
            <w:pPr>
              <w:spacing w:after="0"/>
            </w:pPr>
            <w:r>
              <w:rPr>
                <w:b/>
                <w:color w:val="121826"/>
                <w:sz w:val="14"/>
              </w:rPr>
              <w:t>Commitment</w:t>
            </w:r>
          </w:p>
        </w:tc>
        <w:tc>
          <w:tcPr>
            <w:tcW w:type="dxa" w:w="620"/>
            <w:shd w:val="clear" w:color="auto" w:fill="E4EAF3"/>
          </w:tcPr>
          <w:p>
            <w:pPr>
              <w:spacing w:after="0"/>
            </w:pPr>
            <w:r>
              <w:rPr>
                <w:b/>
                <w:color w:val="121826"/>
                <w:sz w:val="14"/>
              </w:rPr>
              <w:t>Contributed</w:t>
            </w:r>
          </w:p>
        </w:tc>
        <w:tc>
          <w:tcPr>
            <w:tcW w:type="dxa" w:w="620"/>
            <w:shd w:val="clear" w:color="auto" w:fill="E4EAF3"/>
          </w:tcPr>
          <w:p>
            <w:pPr>
              <w:spacing w:after="0"/>
            </w:pPr>
            <w:r>
              <w:rPr>
                <w:b/>
                <w:color w:val="121826"/>
                <w:sz w:val="14"/>
              </w:rPr>
              <w:t>Unfunded</w:t>
            </w:r>
          </w:p>
        </w:tc>
        <w:tc>
          <w:tcPr>
            <w:tcW w:type="dxa" w:w="620"/>
            <w:shd w:val="clear" w:color="auto" w:fill="E4EAF3"/>
          </w:tcPr>
          <w:p>
            <w:pPr>
              <w:spacing w:after="0"/>
            </w:pPr>
            <w:r>
              <w:rPr>
                <w:b/>
                <w:color w:val="121826"/>
                <w:sz w:val="14"/>
              </w:rPr>
              <w:t>Pending call</w:t>
            </w:r>
          </w:p>
        </w:tc>
      </w:tr>
      <w:tr>
        <w:tc>
          <w:tcPr>
            <w:tcW w:type="dxa" w:w="1538"/>
          </w:tcPr>
          <w:p>
            <w:pPr>
              <w:spacing w:after="0"/>
            </w:pPr>
            <w:r>
              <w:rPr>
                <w:sz w:val="14"/>
              </w:rPr>
              <w:t>Smithfield Street Wealth Feeder LP</w:t>
            </w:r>
          </w:p>
        </w:tc>
        <w:tc>
          <w:tcPr>
            <w:tcW w:type="dxa" w:w="1538"/>
          </w:tcPr>
          <w:p>
            <w:pPr>
              <w:spacing w:after="0"/>
            </w:pPr>
            <w:r>
              <w:rPr>
                <w:sz w:val="14"/>
              </w:rPr>
              <w:t>Feeder fund for wealth-management clients, managed by an affiliate of the Advisor</w:t>
            </w:r>
          </w:p>
        </w:tc>
        <w:tc>
          <w:tcPr>
            <w:tcW w:type="dxa" w:w="1538"/>
          </w:tcPr>
          <w:p>
            <w:pPr>
              <w:spacing w:after="0"/>
            </w:pPr>
            <w:r>
              <w:rPr>
                <w:sz w:val="14"/>
              </w:rPr>
              <w:t>Designated Investor</w:t>
            </w:r>
          </w:p>
        </w:tc>
        <w:tc>
          <w:tcPr>
            <w:tcW w:type="dxa" w:w="728"/>
          </w:tcPr>
          <w:p>
            <w:pPr>
              <w:spacing w:after="0"/>
            </w:pPr>
            <w:r>
              <w:rPr>
                <w:sz w:val="14"/>
              </w:rPr>
              <w:t>Not rated</w:t>
            </w:r>
          </w:p>
        </w:tc>
        <w:tc>
          <w:tcPr>
            <w:tcW w:type="dxa" w:w="1538"/>
          </w:tcPr>
          <w:p>
            <w:pPr>
              <w:spacing w:after="0"/>
            </w:pPr>
            <w:r>
              <w:rPr>
                <w:sz w:val="14"/>
              </w:rPr>
              <w:t>Agent-designated; no rating or financial covenant tested</w:t>
            </w:r>
          </w:p>
        </w:tc>
        <w:tc>
          <w:tcPr>
            <w:tcW w:type="dxa" w:w="620"/>
          </w:tcPr>
          <w:p>
            <w:pPr>
              <w:spacing w:after="0"/>
              <w:jc w:val="right"/>
            </w:pPr>
            <w:r>
              <w:rPr>
                <w:sz w:val="14"/>
              </w:rPr>
              <w:t>260.0</w:t>
            </w:r>
          </w:p>
        </w:tc>
        <w:tc>
          <w:tcPr>
            <w:tcW w:type="dxa" w:w="620"/>
          </w:tcPr>
          <w:p>
            <w:pPr>
              <w:spacing w:after="0"/>
              <w:jc w:val="right"/>
            </w:pPr>
            <w:r>
              <w:rPr>
                <w:sz w:val="14"/>
              </w:rPr>
              <w:t>166.4</w:t>
            </w:r>
          </w:p>
        </w:tc>
        <w:tc>
          <w:tcPr>
            <w:tcW w:type="dxa" w:w="620"/>
          </w:tcPr>
          <w:p>
            <w:pPr>
              <w:spacing w:after="0"/>
              <w:jc w:val="right"/>
            </w:pPr>
            <w:r>
              <w:rPr>
                <w:sz w:val="14"/>
              </w:rPr>
              <w:t>93.6</w:t>
            </w:r>
          </w:p>
        </w:tc>
        <w:tc>
          <w:tcPr>
            <w:tcW w:type="dxa" w:w="620"/>
          </w:tcPr>
          <w:p>
            <w:pPr>
              <w:spacing w:after="0"/>
              <w:jc w:val="right"/>
            </w:pPr>
            <w:r>
              <w:rPr>
                <w:sz w:val="14"/>
              </w:rPr>
              <w:t>31.2</w:t>
            </w:r>
          </w:p>
        </w:tc>
      </w:tr>
      <w:tr>
        <w:tc>
          <w:tcPr>
            <w:tcW w:type="dxa" w:w="1538"/>
          </w:tcPr>
          <w:p>
            <w:pPr>
              <w:spacing w:after="0"/>
            </w:pPr>
            <w:r>
              <w:rPr>
                <w:sz w:val="14"/>
              </w:rPr>
              <w:t>Keelboat Life Insurance Company ¹</w:t>
            </w:r>
          </w:p>
        </w:tc>
        <w:tc>
          <w:tcPr>
            <w:tcW w:type="dxa" w:w="1538"/>
          </w:tcPr>
          <w:p>
            <w:pPr>
              <w:spacing w:after="0"/>
            </w:pPr>
            <w:r>
              <w:rPr>
                <w:sz w:val="14"/>
              </w:rPr>
              <w:t>Life insurer</w:t>
            </w:r>
          </w:p>
        </w:tc>
        <w:tc>
          <w:tcPr>
            <w:tcW w:type="dxa" w:w="1538"/>
          </w:tcPr>
          <w:p>
            <w:pPr>
              <w:spacing w:after="0"/>
            </w:pPr>
            <w:r>
              <w:rPr>
                <w:sz w:val="14"/>
              </w:rPr>
              <w:t>Rated Included Investor</w:t>
            </w:r>
          </w:p>
        </w:tc>
        <w:tc>
          <w:tcPr>
            <w:tcW w:type="dxa" w:w="728"/>
          </w:tcPr>
          <w:p>
            <w:pPr>
              <w:spacing w:after="0"/>
            </w:pPr>
            <w:r>
              <w:rPr>
                <w:sz w:val="14"/>
              </w:rPr>
              <w:t>A+ / A1</w:t>
            </w:r>
          </w:p>
        </w:tc>
        <w:tc>
          <w:tcPr>
            <w:tcW w:type="dxa" w:w="1538"/>
          </w:tcPr>
          <w:p>
            <w:pPr>
              <w:spacing w:after="0"/>
            </w:pPr>
            <w:r>
              <w:rPr>
                <w:sz w:val="14"/>
              </w:rPr>
              <w:t>A.M. Best A+</w:t>
            </w:r>
          </w:p>
        </w:tc>
        <w:tc>
          <w:tcPr>
            <w:tcW w:type="dxa" w:w="620"/>
          </w:tcPr>
          <w:p>
            <w:pPr>
              <w:spacing w:after="0"/>
              <w:jc w:val="right"/>
            </w:pPr>
            <w:r>
              <w:rPr>
                <w:sz w:val="14"/>
              </w:rPr>
              <w:t>115.0</w:t>
            </w:r>
          </w:p>
        </w:tc>
        <w:tc>
          <w:tcPr>
            <w:tcW w:type="dxa" w:w="620"/>
          </w:tcPr>
          <w:p>
            <w:pPr>
              <w:spacing w:after="0"/>
              <w:jc w:val="right"/>
            </w:pPr>
            <w:r>
              <w:rPr>
                <w:sz w:val="14"/>
              </w:rPr>
              <w:t>41.4</w:t>
            </w:r>
          </w:p>
        </w:tc>
        <w:tc>
          <w:tcPr>
            <w:tcW w:type="dxa" w:w="620"/>
          </w:tcPr>
          <w:p>
            <w:pPr>
              <w:spacing w:after="0"/>
              <w:jc w:val="right"/>
            </w:pPr>
            <w:r>
              <w:rPr>
                <w:sz w:val="14"/>
              </w:rPr>
              <w:t>73.6</w:t>
            </w:r>
          </w:p>
        </w:tc>
        <w:tc>
          <w:tcPr>
            <w:tcW w:type="dxa" w:w="620"/>
          </w:tcPr>
          <w:p>
            <w:pPr>
              <w:spacing w:after="0"/>
              <w:jc w:val="right"/>
            </w:pPr>
            <w:r>
              <w:rPr>
                <w:sz w:val="14"/>
              </w:rPr>
              <w:t>24.6</w:t>
            </w:r>
          </w:p>
        </w:tc>
      </w:tr>
      <w:tr>
        <w:tc>
          <w:tcPr>
            <w:tcW w:type="dxa" w:w="1538"/>
          </w:tcPr>
          <w:p>
            <w:pPr>
              <w:spacing w:after="0"/>
            </w:pPr>
            <w:r>
              <w:rPr>
                <w:sz w:val="14"/>
              </w:rPr>
              <w:t>Keelboat Mutual Insurance Company ¹</w:t>
            </w:r>
          </w:p>
        </w:tc>
        <w:tc>
          <w:tcPr>
            <w:tcW w:type="dxa" w:w="1538"/>
          </w:tcPr>
          <w:p>
            <w:pPr>
              <w:spacing w:after="0"/>
            </w:pPr>
            <w:r>
              <w:rPr>
                <w:sz w:val="14"/>
              </w:rPr>
              <w:t>P&amp;C mutual insurer (affiliate of Keelboat Life)</w:t>
            </w:r>
          </w:p>
        </w:tc>
        <w:tc>
          <w:tcPr>
            <w:tcW w:type="dxa" w:w="1538"/>
          </w:tcPr>
          <w:p>
            <w:pPr>
              <w:spacing w:after="0"/>
            </w:pPr>
            <w:r>
              <w:rPr>
                <w:sz w:val="14"/>
              </w:rPr>
              <w:t>Rated Included Investor</w:t>
            </w:r>
          </w:p>
        </w:tc>
        <w:tc>
          <w:tcPr>
            <w:tcW w:type="dxa" w:w="728"/>
          </w:tcPr>
          <w:p>
            <w:pPr>
              <w:spacing w:after="0"/>
            </w:pPr>
            <w:r>
              <w:rPr>
                <w:sz w:val="14"/>
              </w:rPr>
              <w:t>A+ / A1</w:t>
            </w:r>
          </w:p>
        </w:tc>
        <w:tc>
          <w:tcPr>
            <w:tcW w:type="dxa" w:w="1538"/>
          </w:tcPr>
          <w:p>
            <w:pPr>
              <w:spacing w:after="0"/>
            </w:pPr>
            <w:r>
              <w:rPr>
                <w:sz w:val="14"/>
              </w:rPr>
              <w:t>A.M. Best A+</w:t>
            </w:r>
          </w:p>
        </w:tc>
        <w:tc>
          <w:tcPr>
            <w:tcW w:type="dxa" w:w="620"/>
          </w:tcPr>
          <w:p>
            <w:pPr>
              <w:spacing w:after="0"/>
              <w:jc w:val="right"/>
            </w:pPr>
            <w:r>
              <w:rPr>
                <w:sz w:val="14"/>
              </w:rPr>
              <w:t>40.0</w:t>
            </w:r>
          </w:p>
        </w:tc>
        <w:tc>
          <w:tcPr>
            <w:tcW w:type="dxa" w:w="620"/>
          </w:tcPr>
          <w:p>
            <w:pPr>
              <w:spacing w:after="0"/>
              <w:jc w:val="right"/>
            </w:pPr>
            <w:r>
              <w:rPr>
                <w:sz w:val="14"/>
              </w:rPr>
              <w:t>14.4</w:t>
            </w:r>
          </w:p>
        </w:tc>
        <w:tc>
          <w:tcPr>
            <w:tcW w:type="dxa" w:w="620"/>
          </w:tcPr>
          <w:p>
            <w:pPr>
              <w:spacing w:after="0"/>
              <w:jc w:val="right"/>
            </w:pPr>
            <w:r>
              <w:rPr>
                <w:sz w:val="14"/>
              </w:rPr>
              <w:t>25.6</w:t>
            </w:r>
          </w:p>
        </w:tc>
        <w:tc>
          <w:tcPr>
            <w:tcW w:type="dxa" w:w="620"/>
          </w:tcPr>
          <w:p>
            <w:pPr>
              <w:spacing w:after="0"/>
              <w:jc w:val="right"/>
            </w:pPr>
            <w:r>
              <w:rPr>
                <w:sz w:val="14"/>
              </w:rPr>
              <w:t>8.5</w:t>
            </w:r>
          </w:p>
        </w:tc>
      </w:tr>
      <w:tr>
        <w:tc>
          <w:tcPr>
            <w:tcW w:type="dxa" w:w="1538"/>
          </w:tcPr>
          <w:p>
            <w:pPr>
              <w:spacing w:after="0"/>
            </w:pPr>
            <w:r>
              <w:rPr>
                <w:sz w:val="14"/>
              </w:rPr>
              <w:t>Juniata Valley Public Employees' Retirement System</w:t>
            </w:r>
          </w:p>
        </w:tc>
        <w:tc>
          <w:tcPr>
            <w:tcW w:type="dxa" w:w="1538"/>
          </w:tcPr>
          <w:p>
            <w:pPr>
              <w:spacing w:after="0"/>
            </w:pPr>
            <w:r>
              <w:rPr>
                <w:sz w:val="14"/>
              </w:rPr>
              <w:t>State and local government pension plan</w:t>
            </w:r>
          </w:p>
        </w:tc>
        <w:tc>
          <w:tcPr>
            <w:tcW w:type="dxa" w:w="1538"/>
          </w:tcPr>
          <w:p>
            <w:pPr>
              <w:spacing w:after="0"/>
            </w:pPr>
            <w:r>
              <w:rPr>
                <w:sz w:val="14"/>
              </w:rPr>
              <w:t>Rated Included Investor (Governmental Plan; rating of Responsible Party)</w:t>
            </w:r>
          </w:p>
        </w:tc>
        <w:tc>
          <w:tcPr>
            <w:tcW w:type="dxa" w:w="728"/>
          </w:tcPr>
          <w:p>
            <w:pPr>
              <w:spacing w:after="0"/>
            </w:pPr>
            <w:r>
              <w:rPr>
                <w:sz w:val="14"/>
              </w:rPr>
              <w:t>AA- / Aa3</w:t>
            </w:r>
          </w:p>
        </w:tc>
        <w:tc>
          <w:tcPr>
            <w:tcW w:type="dxa" w:w="1538"/>
          </w:tcPr>
          <w:p>
            <w:pPr>
              <w:spacing w:after="0"/>
            </w:pPr>
            <w:r>
              <w:rPr>
                <w:sz w:val="14"/>
              </w:rPr>
              <w:t>Funding ratio 78.0% (FY2025 audited)</w:t>
            </w:r>
          </w:p>
        </w:tc>
        <w:tc>
          <w:tcPr>
            <w:tcW w:type="dxa" w:w="620"/>
          </w:tcPr>
          <w:p>
            <w:pPr>
              <w:spacing w:after="0"/>
              <w:jc w:val="right"/>
            </w:pPr>
            <w:r>
              <w:rPr>
                <w:sz w:val="14"/>
              </w:rPr>
              <w:t>60.0</w:t>
            </w:r>
          </w:p>
        </w:tc>
        <w:tc>
          <w:tcPr>
            <w:tcW w:type="dxa" w:w="620"/>
          </w:tcPr>
          <w:p>
            <w:pPr>
              <w:spacing w:after="0"/>
              <w:jc w:val="right"/>
            </w:pPr>
            <w:r>
              <w:rPr>
                <w:sz w:val="14"/>
              </w:rPr>
              <w:t>23.2</w:t>
            </w:r>
          </w:p>
        </w:tc>
        <w:tc>
          <w:tcPr>
            <w:tcW w:type="dxa" w:w="620"/>
          </w:tcPr>
          <w:p>
            <w:pPr>
              <w:spacing w:after="0"/>
              <w:jc w:val="right"/>
            </w:pPr>
            <w:r>
              <w:rPr>
                <w:sz w:val="14"/>
              </w:rPr>
              <w:t>36.8</w:t>
            </w:r>
          </w:p>
        </w:tc>
        <w:tc>
          <w:tcPr>
            <w:tcW w:type="dxa" w:w="620"/>
          </w:tcPr>
          <w:p>
            <w:pPr>
              <w:spacing w:after="0"/>
              <w:jc w:val="right"/>
            </w:pPr>
            <w:r>
              <w:rPr>
                <w:sz w:val="14"/>
              </w:rPr>
              <w:t>12.3</w:t>
            </w:r>
          </w:p>
        </w:tc>
      </w:tr>
      <w:tr>
        <w:tc>
          <w:tcPr>
            <w:tcW w:type="dxa" w:w="1538"/>
          </w:tcPr>
          <w:p>
            <w:pPr>
              <w:spacing w:after="0"/>
            </w:pPr>
            <w:r>
              <w:rPr>
                <w:sz w:val="14"/>
              </w:rPr>
              <w:t>Brightwater Industries Retirement Plan</w:t>
            </w:r>
          </w:p>
        </w:tc>
        <w:tc>
          <w:tcPr>
            <w:tcW w:type="dxa" w:w="1538"/>
          </w:tcPr>
          <w:p>
            <w:pPr>
              <w:spacing w:after="0"/>
            </w:pPr>
            <w:r>
              <w:rPr>
                <w:sz w:val="14"/>
              </w:rPr>
              <w:t>Corporate defined-benefit plan (ERISA Investor)</w:t>
            </w:r>
          </w:p>
        </w:tc>
        <w:tc>
          <w:tcPr>
            <w:tcW w:type="dxa" w:w="1538"/>
          </w:tcPr>
          <w:p>
            <w:pPr>
              <w:spacing w:after="0"/>
            </w:pPr>
            <w:r>
              <w:rPr>
                <w:sz w:val="14"/>
              </w:rPr>
              <w:t>Rated Included Investor (rating of plan Sponsor)</w:t>
            </w:r>
          </w:p>
        </w:tc>
        <w:tc>
          <w:tcPr>
            <w:tcW w:type="dxa" w:w="728"/>
          </w:tcPr>
          <w:p>
            <w:pPr>
              <w:spacing w:after="0"/>
            </w:pPr>
            <w:r>
              <w:rPr>
                <w:sz w:val="14"/>
              </w:rPr>
              <w:t>BBB / Baa2</w:t>
            </w:r>
          </w:p>
        </w:tc>
        <w:tc>
          <w:tcPr>
            <w:tcW w:type="dxa" w:w="1538"/>
          </w:tcPr>
          <w:p>
            <w:pPr>
              <w:spacing w:after="0"/>
            </w:pPr>
            <w:r>
              <w:rPr>
                <w:sz w:val="14"/>
              </w:rPr>
              <w:t>Funding ratio 73.5% (2025 Schedule SB)</w:t>
            </w:r>
          </w:p>
        </w:tc>
        <w:tc>
          <w:tcPr>
            <w:tcW w:type="dxa" w:w="620"/>
          </w:tcPr>
          <w:p>
            <w:pPr>
              <w:spacing w:after="0"/>
              <w:jc w:val="right"/>
            </w:pPr>
            <w:r>
              <w:rPr>
                <w:sz w:val="14"/>
              </w:rPr>
              <w:t>35.0</w:t>
            </w:r>
          </w:p>
        </w:tc>
        <w:tc>
          <w:tcPr>
            <w:tcW w:type="dxa" w:w="620"/>
          </w:tcPr>
          <w:p>
            <w:pPr>
              <w:spacing w:after="0"/>
              <w:jc w:val="right"/>
            </w:pPr>
            <w:r>
              <w:rPr>
                <w:sz w:val="14"/>
              </w:rPr>
              <w:t>13.3</w:t>
            </w:r>
          </w:p>
        </w:tc>
        <w:tc>
          <w:tcPr>
            <w:tcW w:type="dxa" w:w="620"/>
          </w:tcPr>
          <w:p>
            <w:pPr>
              <w:spacing w:after="0"/>
              <w:jc w:val="right"/>
            </w:pPr>
            <w:r>
              <w:rPr>
                <w:sz w:val="14"/>
              </w:rPr>
              <w:t>21.7</w:t>
            </w:r>
          </w:p>
        </w:tc>
        <w:tc>
          <w:tcPr>
            <w:tcW w:type="dxa" w:w="620"/>
          </w:tcPr>
          <w:p>
            <w:pPr>
              <w:spacing w:after="0"/>
              <w:jc w:val="right"/>
            </w:pPr>
            <w:r>
              <w:rPr>
                <w:sz w:val="14"/>
              </w:rPr>
              <w:t>7.2</w:t>
            </w:r>
          </w:p>
        </w:tc>
      </w:tr>
      <w:tr>
        <w:tc>
          <w:tcPr>
            <w:tcW w:type="dxa" w:w="1538"/>
          </w:tcPr>
          <w:p>
            <w:pPr>
              <w:spacing w:after="0"/>
            </w:pPr>
            <w:r>
              <w:rPr>
                <w:sz w:val="14"/>
              </w:rPr>
              <w:t>Ohiopyle Bancorp, Inc.</w:t>
            </w:r>
          </w:p>
        </w:tc>
        <w:tc>
          <w:tcPr>
            <w:tcW w:type="dxa" w:w="1538"/>
          </w:tcPr>
          <w:p>
            <w:pPr>
              <w:spacing w:after="0"/>
            </w:pPr>
            <w:r>
              <w:rPr>
                <w:sz w:val="14"/>
              </w:rPr>
              <w:t>Bank holding company</w:t>
            </w:r>
          </w:p>
        </w:tc>
        <w:tc>
          <w:tcPr>
            <w:tcW w:type="dxa" w:w="1538"/>
          </w:tcPr>
          <w:p>
            <w:pPr>
              <w:spacing w:after="0"/>
            </w:pPr>
            <w:r>
              <w:rPr>
                <w:sz w:val="14"/>
              </w:rPr>
              <w:t>Rated Included Investor</w:t>
            </w:r>
          </w:p>
        </w:tc>
        <w:tc>
          <w:tcPr>
            <w:tcW w:type="dxa" w:w="728"/>
          </w:tcPr>
          <w:p>
            <w:pPr>
              <w:spacing w:after="0"/>
            </w:pPr>
            <w:r>
              <w:rPr>
                <w:sz w:val="14"/>
              </w:rPr>
              <w:t>BBB+ / Baa1</w:t>
            </w:r>
          </w:p>
        </w:tc>
        <w:tc>
          <w:tcPr>
            <w:tcW w:type="dxa" w:w="1538"/>
          </w:tcPr>
          <w:p>
            <w:pPr>
              <w:spacing w:after="0"/>
            </w:pPr>
            <w:r>
              <w:rPr>
                <w:sz w:val="14"/>
              </w:rPr>
              <w:t>Well capitalized</w:t>
            </w:r>
          </w:p>
        </w:tc>
        <w:tc>
          <w:tcPr>
            <w:tcW w:type="dxa" w:w="620"/>
          </w:tcPr>
          <w:p>
            <w:pPr>
              <w:spacing w:after="0"/>
              <w:jc w:val="right"/>
            </w:pPr>
            <w:r>
              <w:rPr>
                <w:sz w:val="14"/>
              </w:rPr>
              <w:t>20.0</w:t>
            </w:r>
          </w:p>
        </w:tc>
        <w:tc>
          <w:tcPr>
            <w:tcW w:type="dxa" w:w="620"/>
          </w:tcPr>
          <w:p>
            <w:pPr>
              <w:spacing w:after="0"/>
              <w:jc w:val="right"/>
            </w:pPr>
            <w:r>
              <w:rPr>
                <w:sz w:val="14"/>
              </w:rPr>
              <w:t>7.0</w:t>
            </w:r>
          </w:p>
        </w:tc>
        <w:tc>
          <w:tcPr>
            <w:tcW w:type="dxa" w:w="620"/>
          </w:tcPr>
          <w:p>
            <w:pPr>
              <w:spacing w:after="0"/>
              <w:jc w:val="right"/>
            </w:pPr>
            <w:r>
              <w:rPr>
                <w:sz w:val="14"/>
              </w:rPr>
              <w:t>13.0</w:t>
            </w:r>
          </w:p>
        </w:tc>
        <w:tc>
          <w:tcPr>
            <w:tcW w:type="dxa" w:w="620"/>
          </w:tcPr>
          <w:p>
            <w:pPr>
              <w:spacing w:after="0"/>
              <w:jc w:val="right"/>
            </w:pPr>
            <w:r>
              <w:rPr>
                <w:sz w:val="14"/>
              </w:rPr>
              <w:t>4.3</w:t>
            </w:r>
          </w:p>
        </w:tc>
      </w:tr>
      <w:tr>
        <w:tc>
          <w:tcPr>
            <w:tcW w:type="dxa" w:w="1538"/>
          </w:tcPr>
          <w:p>
            <w:pPr>
              <w:spacing w:after="0"/>
            </w:pPr>
            <w:r>
              <w:rPr>
                <w:sz w:val="14"/>
              </w:rPr>
              <w:t>Laurel Ridge Family Holdings LLC</w:t>
            </w:r>
          </w:p>
        </w:tc>
        <w:tc>
          <w:tcPr>
            <w:tcW w:type="dxa" w:w="1538"/>
          </w:tcPr>
          <w:p>
            <w:pPr>
              <w:spacing w:after="0"/>
            </w:pPr>
            <w:r>
              <w:rPr>
                <w:sz w:val="14"/>
              </w:rPr>
              <w:t>Single-family office</w:t>
            </w:r>
          </w:p>
        </w:tc>
        <w:tc>
          <w:tcPr>
            <w:tcW w:type="dxa" w:w="1538"/>
          </w:tcPr>
          <w:p>
            <w:pPr>
              <w:spacing w:after="0"/>
            </w:pPr>
            <w:r>
              <w:rPr>
                <w:sz w:val="14"/>
              </w:rPr>
              <w:t>Non-Rated Included Investor</w:t>
            </w:r>
          </w:p>
        </w:tc>
        <w:tc>
          <w:tcPr>
            <w:tcW w:type="dxa" w:w="728"/>
          </w:tcPr>
          <w:p>
            <w:pPr>
              <w:spacing w:after="0"/>
            </w:pPr>
            <w:r>
              <w:rPr>
                <w:sz w:val="14"/>
              </w:rPr>
              <w:t>Not rated</w:t>
            </w:r>
          </w:p>
        </w:tc>
        <w:tc>
          <w:tcPr>
            <w:tcW w:type="dxa" w:w="1538"/>
          </w:tcPr>
          <w:p>
            <w:pPr>
              <w:spacing w:after="0"/>
            </w:pPr>
            <w:r>
              <w:rPr>
                <w:sz w:val="14"/>
              </w:rPr>
              <w:t>FY2025 net worth $412M vs $455M baseline (90.5%)</w:t>
            </w:r>
          </w:p>
        </w:tc>
        <w:tc>
          <w:tcPr>
            <w:tcW w:type="dxa" w:w="620"/>
          </w:tcPr>
          <w:p>
            <w:pPr>
              <w:spacing w:after="0"/>
              <w:jc w:val="right"/>
            </w:pPr>
            <w:r>
              <w:rPr>
                <w:sz w:val="14"/>
              </w:rPr>
              <w:t>26.0</w:t>
            </w:r>
          </w:p>
        </w:tc>
        <w:tc>
          <w:tcPr>
            <w:tcW w:type="dxa" w:w="620"/>
          </w:tcPr>
          <w:p>
            <w:pPr>
              <w:spacing w:after="0"/>
              <w:jc w:val="right"/>
            </w:pPr>
            <w:r>
              <w:rPr>
                <w:sz w:val="14"/>
              </w:rPr>
              <w:t>7.8</w:t>
            </w:r>
          </w:p>
        </w:tc>
        <w:tc>
          <w:tcPr>
            <w:tcW w:type="dxa" w:w="620"/>
          </w:tcPr>
          <w:p>
            <w:pPr>
              <w:spacing w:after="0"/>
              <w:jc w:val="right"/>
            </w:pPr>
            <w:r>
              <w:rPr>
                <w:sz w:val="14"/>
              </w:rPr>
              <w:t>18.2</w:t>
            </w:r>
          </w:p>
        </w:tc>
        <w:tc>
          <w:tcPr>
            <w:tcW w:type="dxa" w:w="620"/>
          </w:tcPr>
          <w:p>
            <w:pPr>
              <w:spacing w:after="0"/>
              <w:jc w:val="right"/>
            </w:pPr>
            <w:r>
              <w:rPr>
                <w:sz w:val="14"/>
              </w:rPr>
              <w:t>6.1</w:t>
            </w:r>
          </w:p>
        </w:tc>
      </w:tr>
      <w:tr>
        <w:tc>
          <w:tcPr>
            <w:tcW w:type="dxa" w:w="1538"/>
          </w:tcPr>
          <w:p>
            <w:pPr>
              <w:spacing w:after="0"/>
            </w:pPr>
            <w:r>
              <w:rPr>
                <w:sz w:val="14"/>
              </w:rPr>
              <w:t>Harmony Health System</w:t>
            </w:r>
          </w:p>
        </w:tc>
        <w:tc>
          <w:tcPr>
            <w:tcW w:type="dxa" w:w="1538"/>
          </w:tcPr>
          <w:p>
            <w:pPr>
              <w:spacing w:after="0"/>
            </w:pPr>
            <w:r>
              <w:rPr>
                <w:sz w:val="14"/>
              </w:rPr>
              <w:t>Not-for-profit hospital system</w:t>
            </w:r>
          </w:p>
        </w:tc>
        <w:tc>
          <w:tcPr>
            <w:tcW w:type="dxa" w:w="1538"/>
          </w:tcPr>
          <w:p>
            <w:pPr>
              <w:spacing w:after="0"/>
            </w:pPr>
            <w:r>
              <w:rPr>
                <w:sz w:val="14"/>
              </w:rPr>
              <w:t>Special Included Investor</w:t>
            </w:r>
          </w:p>
        </w:tc>
        <w:tc>
          <w:tcPr>
            <w:tcW w:type="dxa" w:w="728"/>
          </w:tcPr>
          <w:p>
            <w:pPr>
              <w:spacing w:after="0"/>
            </w:pPr>
            <w:r>
              <w:rPr>
                <w:sz w:val="14"/>
              </w:rPr>
              <w:t>A / A2</w:t>
            </w:r>
          </w:p>
        </w:tc>
        <w:tc>
          <w:tcPr>
            <w:tcW w:type="dxa" w:w="1538"/>
          </w:tcPr>
          <w:p>
            <w:pPr>
              <w:spacing w:after="0"/>
            </w:pPr>
            <w:r>
              <w:rPr>
                <w:sz w:val="14"/>
              </w:rPr>
              <w:t>Funded 25.0% of commitment (Hurdle Condition: &gt;40%)</w:t>
            </w:r>
          </w:p>
        </w:tc>
        <w:tc>
          <w:tcPr>
            <w:tcW w:type="dxa" w:w="620"/>
          </w:tcPr>
          <w:p>
            <w:pPr>
              <w:spacing w:after="0"/>
              <w:jc w:val="right"/>
            </w:pPr>
            <w:r>
              <w:rPr>
                <w:sz w:val="14"/>
              </w:rPr>
              <w:t>20.0</w:t>
            </w:r>
          </w:p>
        </w:tc>
        <w:tc>
          <w:tcPr>
            <w:tcW w:type="dxa" w:w="620"/>
          </w:tcPr>
          <w:p>
            <w:pPr>
              <w:spacing w:after="0"/>
              <w:jc w:val="right"/>
            </w:pPr>
            <w:r>
              <w:rPr>
                <w:sz w:val="14"/>
              </w:rPr>
              <w:t>5.0</w:t>
            </w:r>
          </w:p>
        </w:tc>
        <w:tc>
          <w:tcPr>
            <w:tcW w:type="dxa" w:w="620"/>
          </w:tcPr>
          <w:p>
            <w:pPr>
              <w:spacing w:after="0"/>
              <w:jc w:val="right"/>
            </w:pPr>
            <w:r>
              <w:rPr>
                <w:sz w:val="14"/>
              </w:rPr>
              <w:t>15.0</w:t>
            </w:r>
          </w:p>
        </w:tc>
        <w:tc>
          <w:tcPr>
            <w:tcW w:type="dxa" w:w="620"/>
          </w:tcPr>
          <w:p>
            <w:pPr>
              <w:spacing w:after="0"/>
              <w:jc w:val="right"/>
            </w:pPr>
            <w:r>
              <w:rPr>
                <w:sz w:val="14"/>
              </w:rPr>
              <w:t>5.0</w:t>
            </w:r>
          </w:p>
        </w:tc>
      </w:tr>
      <w:tr>
        <w:tc>
          <w:tcPr>
            <w:tcW w:type="dxa" w:w="1538"/>
          </w:tcPr>
          <w:p>
            <w:pPr>
              <w:spacing w:after="0"/>
            </w:pPr>
            <w:r>
              <w:rPr>
                <w:b/>
                <w:sz w:val="14"/>
              </w:rPr>
              <w:t>Total (8 investors)</w:t>
            </w:r>
          </w:p>
        </w:tc>
        <w:tc>
          <w:tcPr>
            <w:tcW w:type="dxa" w:w="1538"/>
          </w:tcPr>
          <w:p>
            <w:pPr>
              <w:spacing w:after="0"/>
            </w:pPr>
          </w:p>
        </w:tc>
        <w:tc>
          <w:tcPr>
            <w:tcW w:type="dxa" w:w="1538"/>
          </w:tcPr>
          <w:p>
            <w:pPr>
              <w:spacing w:after="0"/>
            </w:pPr>
          </w:p>
        </w:tc>
        <w:tc>
          <w:tcPr>
            <w:tcW w:type="dxa" w:w="728"/>
          </w:tcPr>
          <w:p>
            <w:pPr>
              <w:spacing w:after="0"/>
            </w:pPr>
          </w:p>
        </w:tc>
        <w:tc>
          <w:tcPr>
            <w:tcW w:type="dxa" w:w="1538"/>
          </w:tcPr>
          <w:p>
            <w:pPr>
              <w:spacing w:after="0"/>
            </w:pPr>
          </w:p>
        </w:tc>
        <w:tc>
          <w:tcPr>
            <w:tcW w:type="dxa" w:w="620"/>
          </w:tcPr>
          <w:p>
            <w:pPr>
              <w:spacing w:after="0"/>
              <w:jc w:val="right"/>
            </w:pPr>
            <w:r>
              <w:rPr>
                <w:b/>
                <w:sz w:val="14"/>
              </w:rPr>
              <w:t>576.0</w:t>
            </w:r>
          </w:p>
        </w:tc>
        <w:tc>
          <w:tcPr>
            <w:tcW w:type="dxa" w:w="620"/>
          </w:tcPr>
          <w:p>
            <w:pPr>
              <w:spacing w:after="0"/>
              <w:jc w:val="right"/>
            </w:pPr>
            <w:r>
              <w:rPr>
                <w:b/>
                <w:sz w:val="14"/>
              </w:rPr>
              <w:t>278.6</w:t>
            </w:r>
          </w:p>
        </w:tc>
        <w:tc>
          <w:tcPr>
            <w:tcW w:type="dxa" w:w="620"/>
          </w:tcPr>
          <w:p>
            <w:pPr>
              <w:spacing w:after="0"/>
              <w:jc w:val="right"/>
            </w:pPr>
            <w:r>
              <w:rPr>
                <w:b/>
                <w:sz w:val="14"/>
              </w:rPr>
              <w:t>297.4</w:t>
            </w:r>
          </w:p>
        </w:tc>
        <w:tc>
          <w:tcPr>
            <w:tcW w:type="dxa" w:w="620"/>
          </w:tcPr>
          <w:p>
            <w:pPr>
              <w:spacing w:after="0"/>
              <w:jc w:val="right"/>
            </w:pPr>
            <w:r>
              <w:rPr>
                <w:b/>
                <w:sz w:val="14"/>
              </w:rPr>
              <w:t>99.2</w:t>
            </w:r>
          </w:p>
        </w:tc>
      </w:tr>
    </w:tbl>
    <w:p>
      <w:pPr>
        <w:spacing w:after="40"/>
      </w:pPr>
    </w:p>
    <w:p>
      <w:pPr>
        <w:spacing w:after="80"/>
      </w:pPr>
      <w:r>
        <w:rPr>
          <w:i/>
        </w:rPr>
        <w:t>¹ Keelboat Life and Keelboat Mutual are affiliates. Source: roster IC Simulator (HYPOTHETICAL). Totals: Form 10-Q Q2-2026 (commitments $576,013K; undrawn $297,427K; $99,222K received Jul 1, 2026) and Form D/A filed Jun 25, 2026 (8 investors).</w:t>
      </w:r>
    </w:p>
    <w:p>
      <w:pPr>
        <w:spacing w:after="80"/>
      </w:pPr>
      <w:r>
        <w:rPr>
          <w:b/>
        </w:rPr>
        <w:t>Exhibit 3B: Borrowing base terms (Revolving Credit Agreement, Apr 21, 2025)</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4143"/>
        <w:gridCol w:w="5216"/>
      </w:tblGrid>
      <w:tr>
        <w:tc>
          <w:tcPr>
            <w:tcW w:type="dxa" w:w="4144"/>
            <w:shd w:val="clear" w:color="auto" w:fill="E4EAF3"/>
          </w:tcPr>
          <w:p>
            <w:pPr>
              <w:spacing w:after="0"/>
            </w:pPr>
            <w:r>
              <w:rPr>
                <w:b/>
                <w:color w:val="121826"/>
                <w:sz w:val="17"/>
              </w:rPr>
              <w:t>Term</w:t>
            </w:r>
          </w:p>
        </w:tc>
        <w:tc>
          <w:tcPr>
            <w:tcW w:type="dxa" w:w="5216"/>
            <w:shd w:val="clear" w:color="auto" w:fill="E4EAF3"/>
          </w:tcPr>
          <w:p>
            <w:pPr>
              <w:spacing w:after="0"/>
            </w:pPr>
            <w:r>
              <w:rPr>
                <w:b/>
                <w:color w:val="121826"/>
                <w:sz w:val="17"/>
              </w:rPr>
              <w:t>Provision</w:t>
            </w:r>
          </w:p>
        </w:tc>
      </w:tr>
      <w:tr>
        <w:tc>
          <w:tcPr>
            <w:tcW w:type="dxa" w:w="4144"/>
          </w:tcPr>
          <w:p>
            <w:pPr>
              <w:spacing w:after="0"/>
            </w:pPr>
            <w:r>
              <w:rPr>
                <w:sz w:val="17"/>
              </w:rPr>
              <w:t>Borrowing Base</w:t>
            </w:r>
          </w:p>
        </w:tc>
        <w:tc>
          <w:tcPr>
            <w:tcW w:type="dxa" w:w="5216"/>
          </w:tcPr>
          <w:p>
            <w:pPr>
              <w:spacing w:after="0"/>
            </w:pPr>
            <w:r>
              <w:rPr>
                <w:sz w:val="17"/>
              </w:rPr>
              <w:t>90% of Eligible Contributions of Included Investors (other than Special Included) + 65% of Designated Investors + 65% of Special Included Investors (80% once the Hurdle Condition is met: the investor has funded more than 40% of its commitment)</w:t>
            </w:r>
          </w:p>
        </w:tc>
      </w:tr>
      <w:tr>
        <w:tc>
          <w:tcPr>
            <w:tcW w:type="dxa" w:w="4144"/>
          </w:tcPr>
          <w:p>
            <w:pPr>
              <w:spacing w:after="0"/>
            </w:pPr>
            <w:r>
              <w:rPr>
                <w:sz w:val="17"/>
              </w:rPr>
              <w:t>Eligible Contribution</w:t>
            </w:r>
          </w:p>
        </w:tc>
        <w:tc>
          <w:tcPr>
            <w:tcW w:type="dxa" w:w="5216"/>
          </w:tcPr>
          <w:p>
            <w:pPr>
              <w:spacing w:after="0"/>
            </w:pPr>
            <w:r>
              <w:rPr>
                <w:sz w:val="17"/>
              </w:rPr>
              <w:t>Lesser of the investor's Unfunded Commitment and its Concentration Limit × total Unfunded Commitments of all Borrowing Base Investors; limits apply before advance rates</w:t>
            </w:r>
          </w:p>
        </w:tc>
      </w:tr>
      <w:tr>
        <w:tc>
          <w:tcPr>
            <w:tcW w:type="dxa" w:w="4144"/>
          </w:tcPr>
          <w:p>
            <w:pPr>
              <w:spacing w:after="0"/>
            </w:pPr>
            <w:r>
              <w:rPr>
                <w:sz w:val="17"/>
              </w:rPr>
              <w:t>Unfunded Commitment</w:t>
            </w:r>
          </w:p>
        </w:tc>
        <w:tc>
          <w:tcPr>
            <w:tcW w:type="dxa" w:w="5216"/>
          </w:tcPr>
          <w:p>
            <w:pPr>
              <w:spacing w:after="0"/>
            </w:pPr>
            <w:r>
              <w:rPr>
                <w:sz w:val="17"/>
              </w:rPr>
              <w:t>Commitment less contributions plus Returned Capital, excluding any amount subject to a Pending Capital Call (called, not yet funded, not in default)</w:t>
            </w:r>
          </w:p>
        </w:tc>
      </w:tr>
      <w:tr>
        <w:tc>
          <w:tcPr>
            <w:tcW w:type="dxa" w:w="4144"/>
          </w:tcPr>
          <w:p>
            <w:pPr>
              <w:spacing w:after="0"/>
            </w:pPr>
            <w:r>
              <w:rPr>
                <w:sz w:val="17"/>
              </w:rPr>
              <w:t>Available Commitment</w:t>
            </w:r>
          </w:p>
        </w:tc>
        <w:tc>
          <w:tcPr>
            <w:tcW w:type="dxa" w:w="5216"/>
          </w:tcPr>
          <w:p>
            <w:pPr>
              <w:spacing w:after="0"/>
            </w:pPr>
            <w:r>
              <w:rPr>
                <w:sz w:val="17"/>
              </w:rPr>
              <w:t>Lesser of the Maximum Commitment and the Borrowing Base</w:t>
            </w:r>
          </w:p>
        </w:tc>
      </w:tr>
      <w:tr>
        <w:tc>
          <w:tcPr>
            <w:tcW w:type="dxa" w:w="4144"/>
          </w:tcPr>
          <w:p>
            <w:pPr>
              <w:spacing w:after="0"/>
            </w:pPr>
            <w:r>
              <w:rPr>
                <w:sz w:val="17"/>
              </w:rPr>
              <w:t>Affiliates</w:t>
            </w:r>
          </w:p>
        </w:tc>
        <w:tc>
          <w:tcPr>
            <w:tcW w:type="dxa" w:w="5216"/>
          </w:tcPr>
          <w:p>
            <w:pPr>
              <w:spacing w:after="0"/>
            </w:pPr>
            <w:r>
              <w:rPr>
                <w:sz w:val="17"/>
              </w:rPr>
              <w:t>An investor and its investing Affiliates are treated as one investor for concentration limits</w:t>
            </w:r>
          </w:p>
        </w:tc>
      </w:tr>
      <w:tr>
        <w:tc>
          <w:tcPr>
            <w:tcW w:type="dxa" w:w="4144"/>
          </w:tcPr>
          <w:p>
            <w:pPr>
              <w:spacing w:after="0"/>
            </w:pPr>
            <w:r>
              <w:rPr>
                <w:sz w:val="17"/>
              </w:rPr>
              <w:t>Ratings</w:t>
            </w:r>
          </w:p>
        </w:tc>
        <w:tc>
          <w:tcPr>
            <w:tcW w:type="dxa" w:w="5216"/>
          </w:tcPr>
          <w:p>
            <w:pPr>
              <w:spacing w:after="0"/>
            </w:pPr>
            <w:r>
              <w:rPr>
                <w:sz w:val="17"/>
              </w:rPr>
              <w:t>Lower of S&amp;P and Moody's senior unsecured (or insurance financial strength / GO) rating; an investor with one rating uses it</w:t>
            </w:r>
          </w:p>
        </w:tc>
      </w:tr>
    </w:tbl>
    <w:p>
      <w:pPr>
        <w:spacing w:after="40"/>
      </w:pP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5180"/>
        <w:gridCol w:w="2089"/>
        <w:gridCol w:w="2089"/>
      </w:tblGrid>
      <w:tr>
        <w:tc>
          <w:tcPr>
            <w:tcW w:type="dxa" w:w="5181"/>
            <w:shd w:val="clear" w:color="auto" w:fill="E4EAF3"/>
          </w:tcPr>
          <w:p>
            <w:pPr>
              <w:spacing w:after="0"/>
            </w:pPr>
            <w:r>
              <w:rPr>
                <w:b/>
                <w:color w:val="121826"/>
                <w:sz w:val="17"/>
              </w:rPr>
              <w:t>Concentration limit (share of total Unfunded Commitments of Borrowing Base Investors)</w:t>
            </w:r>
          </w:p>
        </w:tc>
        <w:tc>
          <w:tcPr>
            <w:tcW w:type="dxa" w:w="2090"/>
            <w:shd w:val="clear" w:color="auto" w:fill="E4EAF3"/>
          </w:tcPr>
          <w:p>
            <w:pPr>
              <w:spacing w:after="0"/>
            </w:pPr>
            <w:r>
              <w:rPr>
                <w:b/>
                <w:color w:val="121826"/>
                <w:sz w:val="17"/>
              </w:rPr>
              <w:t>Individual</w:t>
            </w:r>
          </w:p>
        </w:tc>
        <w:tc>
          <w:tcPr>
            <w:tcW w:type="dxa" w:w="2090"/>
            <w:shd w:val="clear" w:color="auto" w:fill="E4EAF3"/>
          </w:tcPr>
          <w:p>
            <w:pPr>
              <w:spacing w:after="0"/>
            </w:pPr>
            <w:r>
              <w:rPr>
                <w:b/>
                <w:color w:val="121826"/>
                <w:sz w:val="17"/>
              </w:rPr>
              <w:t>Aggregate</w:t>
            </w:r>
          </w:p>
        </w:tc>
      </w:tr>
      <w:tr>
        <w:tc>
          <w:tcPr>
            <w:tcW w:type="dxa" w:w="5181"/>
          </w:tcPr>
          <w:p>
            <w:pPr>
              <w:spacing w:after="0"/>
            </w:pPr>
            <w:r>
              <w:rPr>
                <w:sz w:val="17"/>
              </w:rPr>
              <w:t>Rated Included: AAA / Aaa</w:t>
            </w:r>
          </w:p>
        </w:tc>
        <w:tc>
          <w:tcPr>
            <w:tcW w:type="dxa" w:w="2090"/>
          </w:tcPr>
          <w:p>
            <w:pPr>
              <w:spacing w:after="0"/>
              <w:jc w:val="right"/>
            </w:pPr>
            <w:r>
              <w:rPr>
                <w:sz w:val="17"/>
              </w:rPr>
              <w:t>100.0%</w:t>
            </w:r>
          </w:p>
        </w:tc>
        <w:tc>
          <w:tcPr>
            <w:tcW w:type="dxa" w:w="2090"/>
          </w:tcPr>
          <w:p>
            <w:pPr>
              <w:spacing w:after="0"/>
              <w:jc w:val="right"/>
            </w:pPr>
            <w:r>
              <w:rPr>
                <w:sz w:val="17"/>
              </w:rPr>
              <w:t>n/a</w:t>
            </w:r>
          </w:p>
        </w:tc>
      </w:tr>
      <w:tr>
        <w:tc>
          <w:tcPr>
            <w:tcW w:type="dxa" w:w="5181"/>
          </w:tcPr>
          <w:p>
            <w:pPr>
              <w:spacing w:after="0"/>
            </w:pPr>
            <w:r>
              <w:rPr>
                <w:sz w:val="17"/>
              </w:rPr>
              <w:t>Rated Included: AA+ to AA- / Aa1 to Aa3</w:t>
            </w:r>
          </w:p>
        </w:tc>
        <w:tc>
          <w:tcPr>
            <w:tcW w:type="dxa" w:w="2090"/>
          </w:tcPr>
          <w:p>
            <w:pPr>
              <w:spacing w:after="0"/>
              <w:jc w:val="right"/>
            </w:pPr>
            <w:r>
              <w:rPr>
                <w:sz w:val="17"/>
              </w:rPr>
              <w:t>40.0%</w:t>
            </w:r>
          </w:p>
        </w:tc>
        <w:tc>
          <w:tcPr>
            <w:tcW w:type="dxa" w:w="2090"/>
          </w:tcPr>
          <w:p>
            <w:pPr>
              <w:spacing w:after="0"/>
              <w:jc w:val="right"/>
            </w:pPr>
            <w:r>
              <w:rPr>
                <w:sz w:val="17"/>
              </w:rPr>
              <w:t>n/a</w:t>
            </w:r>
          </w:p>
        </w:tc>
      </w:tr>
      <w:tr>
        <w:tc>
          <w:tcPr>
            <w:tcW w:type="dxa" w:w="5181"/>
          </w:tcPr>
          <w:p>
            <w:pPr>
              <w:spacing w:after="0"/>
            </w:pPr>
            <w:r>
              <w:rPr>
                <w:sz w:val="17"/>
              </w:rPr>
              <w:t>Rated Included: A+ to A- / A1 to A3</w:t>
            </w:r>
          </w:p>
        </w:tc>
        <w:tc>
          <w:tcPr>
            <w:tcW w:type="dxa" w:w="2090"/>
          </w:tcPr>
          <w:p>
            <w:pPr>
              <w:spacing w:after="0"/>
              <w:jc w:val="right"/>
            </w:pPr>
            <w:r>
              <w:rPr>
                <w:sz w:val="17"/>
              </w:rPr>
              <w:t>30.0%</w:t>
            </w:r>
          </w:p>
        </w:tc>
        <w:tc>
          <w:tcPr>
            <w:tcW w:type="dxa" w:w="2090"/>
          </w:tcPr>
          <w:p>
            <w:pPr>
              <w:spacing w:after="0"/>
              <w:jc w:val="right"/>
            </w:pPr>
            <w:r>
              <w:rPr>
                <w:sz w:val="17"/>
              </w:rPr>
              <w:t>n/a</w:t>
            </w:r>
          </w:p>
        </w:tc>
      </w:tr>
      <w:tr>
        <w:tc>
          <w:tcPr>
            <w:tcW w:type="dxa" w:w="5181"/>
          </w:tcPr>
          <w:p>
            <w:pPr>
              <w:spacing w:after="0"/>
            </w:pPr>
            <w:r>
              <w:rPr>
                <w:sz w:val="17"/>
              </w:rPr>
              <w:t>Rated Included: BBB+ to BBB / Baa1 to Baa2</w:t>
            </w:r>
          </w:p>
        </w:tc>
        <w:tc>
          <w:tcPr>
            <w:tcW w:type="dxa" w:w="2090"/>
          </w:tcPr>
          <w:p>
            <w:pPr>
              <w:spacing w:after="0"/>
              <w:jc w:val="right"/>
            </w:pPr>
            <w:r>
              <w:rPr>
                <w:sz w:val="17"/>
              </w:rPr>
              <w:t>15.0%</w:t>
            </w:r>
          </w:p>
        </w:tc>
        <w:tc>
          <w:tcPr>
            <w:tcW w:type="dxa" w:w="2090"/>
          </w:tcPr>
          <w:p>
            <w:pPr>
              <w:spacing w:after="0"/>
              <w:jc w:val="right"/>
            </w:pPr>
            <w:r>
              <w:rPr>
                <w:sz w:val="17"/>
              </w:rPr>
              <w:t>n/a</w:t>
            </w:r>
          </w:p>
        </w:tc>
      </w:tr>
      <w:tr>
        <w:tc>
          <w:tcPr>
            <w:tcW w:type="dxa" w:w="5181"/>
          </w:tcPr>
          <w:p>
            <w:pPr>
              <w:spacing w:after="0"/>
            </w:pPr>
            <w:r>
              <w:rPr>
                <w:sz w:val="17"/>
              </w:rPr>
              <w:t>Rated Included: BBB- / Baa3</w:t>
            </w:r>
          </w:p>
        </w:tc>
        <w:tc>
          <w:tcPr>
            <w:tcW w:type="dxa" w:w="2090"/>
          </w:tcPr>
          <w:p>
            <w:pPr>
              <w:spacing w:after="0"/>
              <w:jc w:val="right"/>
            </w:pPr>
            <w:r>
              <w:rPr>
                <w:sz w:val="17"/>
              </w:rPr>
              <w:t>5.0%</w:t>
            </w:r>
          </w:p>
        </w:tc>
        <w:tc>
          <w:tcPr>
            <w:tcW w:type="dxa" w:w="2090"/>
          </w:tcPr>
          <w:p>
            <w:pPr>
              <w:spacing w:after="0"/>
              <w:jc w:val="right"/>
            </w:pPr>
            <w:r>
              <w:rPr>
                <w:sz w:val="17"/>
              </w:rPr>
              <w:t>n/a</w:t>
            </w:r>
          </w:p>
        </w:tc>
      </w:tr>
      <w:tr>
        <w:tc>
          <w:tcPr>
            <w:tcW w:type="dxa" w:w="5181"/>
          </w:tcPr>
          <w:p>
            <w:pPr>
              <w:spacing w:after="0"/>
            </w:pPr>
            <w:r>
              <w:rPr>
                <w:sz w:val="17"/>
              </w:rPr>
              <w:t>Non-Rated Included Investors</w:t>
            </w:r>
          </w:p>
        </w:tc>
        <w:tc>
          <w:tcPr>
            <w:tcW w:type="dxa" w:w="2090"/>
          </w:tcPr>
          <w:p>
            <w:pPr>
              <w:spacing w:after="0"/>
              <w:jc w:val="right"/>
            </w:pPr>
            <w:r>
              <w:rPr>
                <w:sz w:val="17"/>
              </w:rPr>
              <w:t>15.0%</w:t>
            </w:r>
          </w:p>
        </w:tc>
        <w:tc>
          <w:tcPr>
            <w:tcW w:type="dxa" w:w="2090"/>
          </w:tcPr>
          <w:p>
            <w:pPr>
              <w:spacing w:after="0"/>
              <w:jc w:val="right"/>
            </w:pPr>
            <w:r>
              <w:rPr>
                <w:sz w:val="17"/>
              </w:rPr>
              <w:t>45.0%</w:t>
            </w:r>
          </w:p>
        </w:tc>
      </w:tr>
      <w:tr>
        <w:tc>
          <w:tcPr>
            <w:tcW w:type="dxa" w:w="5181"/>
          </w:tcPr>
          <w:p>
            <w:pPr>
              <w:spacing w:after="0"/>
            </w:pPr>
            <w:r>
              <w:rPr>
                <w:sz w:val="17"/>
              </w:rPr>
              <w:t>Designated Investors</w:t>
            </w:r>
          </w:p>
        </w:tc>
        <w:tc>
          <w:tcPr>
            <w:tcW w:type="dxa" w:w="2090"/>
          </w:tcPr>
          <w:p>
            <w:pPr>
              <w:spacing w:after="0"/>
              <w:jc w:val="right"/>
            </w:pPr>
            <w:r>
              <w:rPr>
                <w:sz w:val="17"/>
              </w:rPr>
              <w:t>5.0%</w:t>
            </w:r>
          </w:p>
        </w:tc>
        <w:tc>
          <w:tcPr>
            <w:tcW w:type="dxa" w:w="2090"/>
          </w:tcPr>
          <w:p>
            <w:pPr>
              <w:spacing w:after="0"/>
              <w:jc w:val="right"/>
            </w:pPr>
            <w:r>
              <w:rPr>
                <w:sz w:val="17"/>
              </w:rPr>
              <w:t>45.0%</w:t>
            </w:r>
          </w:p>
        </w:tc>
      </w:tr>
      <w:tr>
        <w:tc>
          <w:tcPr>
            <w:tcW w:type="dxa" w:w="5181"/>
          </w:tcPr>
          <w:p>
            <w:pPr>
              <w:spacing w:after="0"/>
            </w:pPr>
            <w:r>
              <w:rPr>
                <w:sz w:val="17"/>
              </w:rPr>
              <w:t>Special Included Investors (A / A2 and above)</w:t>
            </w:r>
          </w:p>
        </w:tc>
        <w:tc>
          <w:tcPr>
            <w:tcW w:type="dxa" w:w="2090"/>
          </w:tcPr>
          <w:p>
            <w:pPr>
              <w:spacing w:after="0"/>
              <w:jc w:val="right"/>
            </w:pPr>
            <w:r>
              <w:rPr>
                <w:sz w:val="17"/>
              </w:rPr>
              <w:t>15.0%</w:t>
            </w:r>
          </w:p>
        </w:tc>
        <w:tc>
          <w:tcPr>
            <w:tcW w:type="dxa" w:w="2090"/>
          </w:tcPr>
          <w:p>
            <w:pPr>
              <w:spacing w:after="0"/>
              <w:jc w:val="right"/>
            </w:pPr>
            <w:r>
              <w:rPr>
                <w:sz w:val="17"/>
              </w:rPr>
              <w:t>n/a</w:t>
            </w:r>
          </w:p>
        </w:tc>
      </w:tr>
    </w:tbl>
    <w:p>
      <w:pPr>
        <w:spacing w:after="40"/>
      </w:pP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4680"/>
        <w:gridCol w:w="4680"/>
      </w:tblGrid>
      <w:tr>
        <w:tc>
          <w:tcPr>
            <w:tcW w:type="dxa" w:w="4680"/>
            <w:shd w:val="clear" w:color="auto" w:fill="E4EAF3"/>
          </w:tcPr>
          <w:p>
            <w:pPr>
              <w:spacing w:after="0"/>
            </w:pPr>
            <w:r>
              <w:rPr>
                <w:b/>
                <w:color w:val="121826"/>
                <w:sz w:val="17"/>
              </w:rPr>
              <w:t>Applicable Requirement (Included Investors)</w:t>
            </w:r>
          </w:p>
        </w:tc>
        <w:tc>
          <w:tcPr>
            <w:tcW w:type="dxa" w:w="4680"/>
            <w:shd w:val="clear" w:color="auto" w:fill="E4EAF3"/>
          </w:tcPr>
          <w:p>
            <w:pPr>
              <w:spacing w:after="0"/>
            </w:pPr>
            <w:r>
              <w:rPr>
                <w:b/>
                <w:color w:val="121826"/>
                <w:sz w:val="17"/>
              </w:rPr>
              <w:t>Requirement</w:t>
            </w:r>
          </w:p>
        </w:tc>
      </w:tr>
      <w:tr>
        <w:tc>
          <w:tcPr>
            <w:tcW w:type="dxa" w:w="4680"/>
          </w:tcPr>
          <w:p>
            <w:pPr>
              <w:spacing w:after="0"/>
            </w:pPr>
            <w:r>
              <w:rPr>
                <w:sz w:val="17"/>
              </w:rPr>
              <w:t>Bank holding company</w:t>
            </w:r>
          </w:p>
        </w:tc>
        <w:tc>
          <w:tcPr>
            <w:tcW w:type="dxa" w:w="4680"/>
          </w:tcPr>
          <w:p>
            <w:pPr>
              <w:spacing w:after="0"/>
            </w:pPr>
            <w:r>
              <w:rPr>
                <w:sz w:val="17"/>
              </w:rPr>
              <w:t>Adequately Capitalized; rated BBB- / Baa3 or higher</w:t>
            </w:r>
          </w:p>
        </w:tc>
      </w:tr>
      <w:tr>
        <w:tc>
          <w:tcPr>
            <w:tcW w:type="dxa" w:w="4680"/>
          </w:tcPr>
          <w:p>
            <w:pPr>
              <w:spacing w:after="0"/>
            </w:pPr>
            <w:r>
              <w:rPr>
                <w:sz w:val="17"/>
              </w:rPr>
              <w:t>Insurance company</w:t>
            </w:r>
          </w:p>
        </w:tc>
        <w:tc>
          <w:tcPr>
            <w:tcW w:type="dxa" w:w="4680"/>
          </w:tcPr>
          <w:p>
            <w:pPr>
              <w:spacing w:after="0"/>
            </w:pPr>
            <w:r>
              <w:rPr>
                <w:sz w:val="17"/>
              </w:rPr>
              <w:t>A.M. Best A- or higher; rated BBB- / Baa3 or higher</w:t>
            </w:r>
          </w:p>
        </w:tc>
      </w:tr>
      <w:tr>
        <w:tc>
          <w:tcPr>
            <w:tcW w:type="dxa" w:w="4680"/>
          </w:tcPr>
          <w:p>
            <w:pPr>
              <w:spacing w:after="0"/>
            </w:pPr>
            <w:r>
              <w:rPr>
                <w:sz w:val="17"/>
              </w:rPr>
              <w:t>ERISA (corporate) pension plan</w:t>
            </w:r>
          </w:p>
        </w:tc>
        <w:tc>
          <w:tcPr>
            <w:tcW w:type="dxa" w:w="4680"/>
          </w:tcPr>
          <w:p>
            <w:pPr>
              <w:spacing w:after="0"/>
            </w:pPr>
            <w:r>
              <w:rPr>
                <w:sz w:val="17"/>
              </w:rPr>
              <w:t>Sponsor rated BBB- / Baa3 or higher; minimum Funding Ratio 70% if the Sponsor is rated BBB+ to BBB- (no minimum if A- or higher)</w:t>
            </w:r>
          </w:p>
        </w:tc>
      </w:tr>
      <w:tr>
        <w:tc>
          <w:tcPr>
            <w:tcW w:type="dxa" w:w="4680"/>
          </w:tcPr>
          <w:p>
            <w:pPr>
              <w:spacing w:after="0"/>
            </w:pPr>
            <w:r>
              <w:rPr>
                <w:sz w:val="17"/>
              </w:rPr>
              <w:t>Governmental plan</w:t>
            </w:r>
          </w:p>
        </w:tc>
        <w:tc>
          <w:tcPr>
            <w:tcW w:type="dxa" w:w="4680"/>
          </w:tcPr>
          <w:p>
            <w:pPr>
              <w:spacing w:after="0"/>
            </w:pPr>
            <w:r>
              <w:rPr>
                <w:sz w:val="17"/>
              </w:rPr>
              <w:t>Responsible Party rated BBB- / Baa3 or higher; minimum Funding Ratio 70% if BBB+ to BBB- (no minimum if A- or higher)</w:t>
            </w:r>
          </w:p>
        </w:tc>
      </w:tr>
      <w:tr>
        <w:tc>
          <w:tcPr>
            <w:tcW w:type="dxa" w:w="4680"/>
          </w:tcPr>
          <w:p>
            <w:pPr>
              <w:spacing w:after="0"/>
            </w:pPr>
            <w:r>
              <w:rPr>
                <w:sz w:val="17"/>
              </w:rPr>
              <w:t>Special Included Investor</w:t>
            </w:r>
          </w:p>
        </w:tc>
        <w:tc>
          <w:tcPr>
            <w:tcW w:type="dxa" w:w="4680"/>
          </w:tcPr>
          <w:p>
            <w:pPr>
              <w:spacing w:after="0"/>
            </w:pPr>
            <w:r>
              <w:rPr>
                <w:sz w:val="17"/>
              </w:rPr>
              <w:t>Rated A / A2 or higher</w:t>
            </w:r>
          </w:p>
        </w:tc>
      </w:tr>
      <w:tr>
        <w:tc>
          <w:tcPr>
            <w:tcW w:type="dxa" w:w="4680"/>
          </w:tcPr>
          <w:p>
            <w:pPr>
              <w:spacing w:after="0"/>
            </w:pPr>
            <w:r>
              <w:rPr>
                <w:sz w:val="17"/>
              </w:rPr>
              <w:t>Non-Rated Included Investor</w:t>
            </w:r>
          </w:p>
        </w:tc>
        <w:tc>
          <w:tcPr>
            <w:tcW w:type="dxa" w:w="4680"/>
          </w:tcPr>
          <w:p>
            <w:pPr>
              <w:spacing w:after="0"/>
            </w:pPr>
            <w:r>
              <w:rPr>
                <w:sz w:val="17"/>
              </w:rPr>
              <w:t>Excluded if year-end net worth falls below 75% of its baseline, or if annual financials are not delivered</w:t>
            </w:r>
          </w:p>
        </w:tc>
      </w:tr>
    </w:tbl>
    <w:p>
      <w:pPr>
        <w:spacing w:after="40"/>
      </w:pPr>
    </w:p>
    <w:p>
      <w:r>
        <w:rPr>
          <w:i/>
          <w:color w:val="5B6475"/>
          <w:sz w:val="16"/>
        </w:rPr>
        <w:t>Source: Exhibit 10.4 to Form 10-K FY2025, Section 1.01 definitions (Borrowing Base, Concentration Limit, Eligible Contribution, Applicable Requirement, Hurdle Condition, Unfunded Commitment, Pending Capital Call). The 6-month window after closing during which individual limits did not apply ended Oct 21, 2025.</w:t>
      </w:r>
    </w:p>
    <w:p>
      <w:pPr>
        <w:pStyle w:val="Heading2"/>
      </w:pPr>
      <w:r>
        <w:t>7. Term sheet</w:t>
      </w:r>
    </w:p>
    <w:p>
      <w:pPr>
        <w:spacing w:after="80"/>
      </w:pPr>
      <w:r>
        <w:rPr>
          <w:i/>
        </w:rPr>
        <w:t>Existing terms are from the Revolving Credit Agreement dated Apr 21, 2025 (Exhibit 10.4), as amended Oct 24 and Dec 16, 2025. Requested changes are HYPOTHETICAL (Exhibit 4A).</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3119"/>
        <w:gridCol w:w="3119"/>
        <w:gridCol w:w="3119"/>
      </w:tblGrid>
      <w:tr>
        <w:tc>
          <w:tcPr>
            <w:tcW w:type="dxa" w:w="3120"/>
            <w:shd w:val="clear" w:color="auto" w:fill="E4EAF3"/>
          </w:tcPr>
          <w:p>
            <w:pPr>
              <w:spacing w:after="0"/>
            </w:pPr>
            <w:r>
              <w:rPr>
                <w:b/>
                <w:color w:val="121826"/>
                <w:sz w:val="17"/>
              </w:rPr>
              <w:t>Field</w:t>
            </w:r>
          </w:p>
        </w:tc>
        <w:tc>
          <w:tcPr>
            <w:tcW w:type="dxa" w:w="3120"/>
            <w:shd w:val="clear" w:color="auto" w:fill="E4EAF3"/>
          </w:tcPr>
          <w:p>
            <w:pPr>
              <w:spacing w:after="0"/>
            </w:pPr>
            <w:r>
              <w:rPr>
                <w:b/>
                <w:color w:val="121826"/>
                <w:sz w:val="17"/>
              </w:rPr>
              <w:t>Existing facility</w:t>
            </w:r>
          </w:p>
        </w:tc>
        <w:tc>
          <w:tcPr>
            <w:tcW w:type="dxa" w:w="3120"/>
            <w:shd w:val="clear" w:color="auto" w:fill="E4EAF3"/>
          </w:tcPr>
          <w:p>
            <w:pPr>
              <w:spacing w:after="0"/>
            </w:pPr>
            <w:r>
              <w:rPr>
                <w:b/>
                <w:color w:val="121826"/>
                <w:sz w:val="17"/>
              </w:rPr>
              <w:t>Requested at renewal</w:t>
            </w:r>
          </w:p>
        </w:tc>
      </w:tr>
      <w:tr>
        <w:tc>
          <w:tcPr>
            <w:tcW w:type="dxa" w:w="3120"/>
          </w:tcPr>
          <w:p>
            <w:pPr>
              <w:spacing w:after="0"/>
            </w:pPr>
            <w:r>
              <w:rPr>
                <w:sz w:val="17"/>
              </w:rPr>
              <w:t>Borrower and guarantors</w:t>
            </w:r>
          </w:p>
        </w:tc>
        <w:tc>
          <w:tcPr>
            <w:tcW w:type="dxa" w:w="3120"/>
          </w:tcPr>
          <w:p>
            <w:pPr>
              <w:spacing w:after="0"/>
            </w:pPr>
            <w:r>
              <w:rPr>
                <w:sz w:val="17"/>
              </w:rPr>
              <w:t>TCW Steel City Senior Lending BDC; Qualified Borrowers may be added with a Borrower guaranty (Section 6)</w:t>
            </w:r>
          </w:p>
        </w:tc>
        <w:tc>
          <w:tcPr>
            <w:tcW w:type="dxa" w:w="3120"/>
          </w:tcPr>
          <w:p>
            <w:pPr>
              <w:spacing w:after="0"/>
            </w:pPr>
            <w:r>
              <w:rPr>
                <w:sz w:val="17"/>
              </w:rPr>
              <w:t>Unchanged</w:t>
            </w:r>
          </w:p>
        </w:tc>
      </w:tr>
      <w:tr>
        <w:tc>
          <w:tcPr>
            <w:tcW w:type="dxa" w:w="3120"/>
          </w:tcPr>
          <w:p>
            <w:pPr>
              <w:spacing w:after="0"/>
            </w:pPr>
            <w:r>
              <w:rPr>
                <w:sz w:val="17"/>
              </w:rPr>
              <w:t>Facility type and amount</w:t>
            </w:r>
          </w:p>
        </w:tc>
        <w:tc>
          <w:tcPr>
            <w:tcW w:type="dxa" w:w="3120"/>
          </w:tcPr>
          <w:p>
            <w:pPr>
              <w:spacing w:after="0"/>
            </w:pPr>
            <w:r>
              <w:rPr>
                <w:sz w:val="17"/>
              </w:rPr>
              <w:t>Committed revolving credit facility with swingline and letters of credit; $200.0M Maximum Commitment; accordion to $500.0M (Section 2.17)</w:t>
            </w:r>
          </w:p>
        </w:tc>
        <w:tc>
          <w:tcPr>
            <w:tcW w:type="dxa" w:w="3120"/>
          </w:tcPr>
          <w:p>
            <w:pPr>
              <w:spacing w:after="0"/>
            </w:pPr>
            <w:r>
              <w:rPr>
                <w:sz w:val="17"/>
              </w:rPr>
              <w:t>$250.0M Maximum Commitment (Natixis group $200.0M; Calloway $50.0M)</w:t>
            </w:r>
          </w:p>
        </w:tc>
      </w:tr>
      <w:tr>
        <w:tc>
          <w:tcPr>
            <w:tcW w:type="dxa" w:w="3120"/>
          </w:tcPr>
          <w:p>
            <w:pPr>
              <w:spacing w:after="0"/>
            </w:pPr>
            <w:r>
              <w:rPr>
                <w:sz w:val="17"/>
              </w:rPr>
              <w:t>Ranking and security</w:t>
            </w:r>
          </w:p>
        </w:tc>
        <w:tc>
          <w:tcPr>
            <w:tcW w:type="dxa" w:w="3120"/>
          </w:tcPr>
          <w:p>
            <w:pPr>
              <w:spacing w:after="0"/>
            </w:pPr>
            <w:r>
              <w:rPr>
                <w:sz w:val="17"/>
              </w:rPr>
              <w:t>First-priority lien on investors' Capital Commitments, the right to make capital calls and enforce contributions, and the Collateral Account receiving contributions; portfolio assets are not collateral (Sections 5.01, 10.02)</w:t>
            </w:r>
          </w:p>
        </w:tc>
        <w:tc>
          <w:tcPr>
            <w:tcW w:type="dxa" w:w="3120"/>
          </w:tcPr>
          <w:p>
            <w:pPr>
              <w:spacing w:after="0"/>
            </w:pPr>
            <w:r>
              <w:rPr>
                <w:sz w:val="17"/>
              </w:rPr>
              <w:t>Unchanged</w:t>
            </w:r>
          </w:p>
        </w:tc>
      </w:tr>
      <w:tr>
        <w:tc>
          <w:tcPr>
            <w:tcW w:type="dxa" w:w="3120"/>
          </w:tcPr>
          <w:p>
            <w:pPr>
              <w:spacing w:after="0"/>
            </w:pPr>
            <w:r>
              <w:rPr>
                <w:sz w:val="17"/>
              </w:rPr>
              <w:t>Tenor and maturity</w:t>
            </w:r>
          </w:p>
        </w:tc>
        <w:tc>
          <w:tcPr>
            <w:tcW w:type="dxa" w:w="3120"/>
          </w:tcPr>
          <w:p>
            <w:pPr>
              <w:spacing w:after="0"/>
            </w:pPr>
            <w:r>
              <w:rPr>
                <w:sz w:val="17"/>
              </w:rPr>
              <w:t>Stated Maturity Date Apr 21, 2027. Maturity Date is the earliest of that date, acceleration, termination of commitments, or 2 months before any scheduled termination of the Borrower's term (the fund is perpetual, so none is scheduled)</w:t>
            </w:r>
          </w:p>
        </w:tc>
        <w:tc>
          <w:tcPr>
            <w:tcW w:type="dxa" w:w="3120"/>
          </w:tcPr>
          <w:p>
            <w:pPr>
              <w:spacing w:after="0"/>
            </w:pPr>
            <w:r>
              <w:rPr>
                <w:sz w:val="17"/>
              </w:rPr>
              <w:t>Apr 21, 2029</w:t>
            </w:r>
          </w:p>
        </w:tc>
      </w:tr>
      <w:tr>
        <w:tc>
          <w:tcPr>
            <w:tcW w:type="dxa" w:w="3120"/>
          </w:tcPr>
          <w:p>
            <w:pPr>
              <w:spacing w:after="0"/>
            </w:pPr>
            <w:r>
              <w:rPr>
                <w:sz w:val="17"/>
              </w:rPr>
              <w:t>Extension</w:t>
            </w:r>
          </w:p>
        </w:tc>
        <w:tc>
          <w:tcPr>
            <w:tcW w:type="dxa" w:w="3120"/>
          </w:tcPr>
          <w:p>
            <w:pPr>
              <w:spacing w:after="0"/>
            </w:pPr>
            <w:r>
              <w:rPr>
                <w:sz w:val="17"/>
              </w:rPr>
              <w:t>One 12-month extension; requires request at least 30 days before maturity, an extension fee, and consent of the Agent and all Lenders in their sole discretion (Section 2.16)</w:t>
            </w:r>
          </w:p>
        </w:tc>
        <w:tc>
          <w:tcPr>
            <w:tcW w:type="dxa" w:w="3120"/>
          </w:tcPr>
          <w:p>
            <w:pPr>
              <w:spacing w:after="0"/>
            </w:pPr>
            <w:r>
              <w:rPr>
                <w:sz w:val="17"/>
              </w:rPr>
              <w:t>One 12-month extension at the Borrower's option, subject to no Default; 0.10% extension fee</w:t>
            </w:r>
          </w:p>
        </w:tc>
      </w:tr>
      <w:tr>
        <w:tc>
          <w:tcPr>
            <w:tcW w:type="dxa" w:w="3120"/>
          </w:tcPr>
          <w:p>
            <w:pPr>
              <w:spacing w:after="0"/>
            </w:pPr>
            <w:r>
              <w:rPr>
                <w:sz w:val="17"/>
              </w:rPr>
              <w:t>Pricing</w:t>
            </w:r>
          </w:p>
        </w:tc>
        <w:tc>
          <w:tcPr>
            <w:tcW w:type="dxa" w:w="3120"/>
          </w:tcPr>
          <w:p>
            <w:pPr>
              <w:spacing w:after="0"/>
            </w:pPr>
            <w:r>
              <w:rPr>
                <w:sz w:val="17"/>
              </w:rPr>
              <w:t>Term SOFR / CP Rate + 2.10%; Base Rate + 1.10%; Daily Simple SOFR + 0.10% adjustment + 2.10%; floor 0%; letter of credit fee 2.10%</w:t>
            </w:r>
          </w:p>
        </w:tc>
        <w:tc>
          <w:tcPr>
            <w:tcW w:type="dxa" w:w="3120"/>
          </w:tcPr>
          <w:p>
            <w:pPr>
              <w:spacing w:after="0"/>
            </w:pPr>
            <w:r>
              <w:rPr>
                <w:sz w:val="17"/>
              </w:rPr>
              <w:t>Unchanged</w:t>
            </w:r>
          </w:p>
        </w:tc>
      </w:tr>
      <w:tr>
        <w:tc>
          <w:tcPr>
            <w:tcW w:type="dxa" w:w="3120"/>
          </w:tcPr>
          <w:p>
            <w:pPr>
              <w:spacing w:after="0"/>
            </w:pPr>
            <w:r>
              <w:rPr>
                <w:sz w:val="17"/>
              </w:rPr>
              <w:t>Fees</w:t>
            </w:r>
          </w:p>
        </w:tc>
        <w:tc>
          <w:tcPr>
            <w:tcW w:type="dxa" w:w="3120"/>
          </w:tcPr>
          <w:p>
            <w:pPr>
              <w:spacing w:after="0"/>
            </w:pPr>
            <w:r>
              <w:rPr>
                <w:sz w:val="17"/>
              </w:rPr>
              <w:t>Unused fee on Maximum Commitment less principal: 0.30% p.a. if the unused amount is ≤50% of the Maximum Commitment, 0.50% if &gt;50% (Section 2.11); upfront fee per fee letter (n/d); no OID; no ticking fee (the unused fee plays that role)</w:t>
            </w:r>
          </w:p>
        </w:tc>
        <w:tc>
          <w:tcPr>
            <w:tcW w:type="dxa" w:w="3120"/>
          </w:tcPr>
          <w:p>
            <w:pPr>
              <w:spacing w:after="0"/>
            </w:pPr>
            <w:r>
              <w:rPr>
                <w:sz w:val="17"/>
              </w:rPr>
              <w:t>Upfront fee 0.20% on the new and extended commitments</w:t>
            </w:r>
          </w:p>
        </w:tc>
      </w:tr>
      <w:tr>
        <w:tc>
          <w:tcPr>
            <w:tcW w:type="dxa" w:w="3120"/>
          </w:tcPr>
          <w:p>
            <w:pPr>
              <w:spacing w:after="0"/>
            </w:pPr>
            <w:r>
              <w:rPr>
                <w:sz w:val="17"/>
              </w:rPr>
              <w:t>Call protection</w:t>
            </w:r>
          </w:p>
        </w:tc>
        <w:tc>
          <w:tcPr>
            <w:tcW w:type="dxa" w:w="3120"/>
          </w:tcPr>
          <w:p>
            <w:pPr>
              <w:spacing w:after="0"/>
            </w:pPr>
            <w:r>
              <w:rPr>
                <w:sz w:val="17"/>
              </w:rPr>
              <w:t>None; voluntary prepayment without premium (Section 3.05)</w:t>
            </w:r>
          </w:p>
        </w:tc>
        <w:tc>
          <w:tcPr>
            <w:tcW w:type="dxa" w:w="3120"/>
          </w:tcPr>
          <w:p>
            <w:pPr>
              <w:spacing w:after="0"/>
            </w:pPr>
            <w:r>
              <w:rPr>
                <w:sz w:val="17"/>
              </w:rPr>
              <w:t>Unchanged</w:t>
            </w:r>
          </w:p>
        </w:tc>
      </w:tr>
      <w:tr>
        <w:tc>
          <w:tcPr>
            <w:tcW w:type="dxa" w:w="3120"/>
          </w:tcPr>
          <w:p>
            <w:pPr>
              <w:spacing w:after="0"/>
            </w:pPr>
            <w:r>
              <w:rPr>
                <w:sz w:val="17"/>
              </w:rPr>
              <w:t>Amortization</w:t>
            </w:r>
          </w:p>
        </w:tc>
        <w:tc>
          <w:tcPr>
            <w:tcW w:type="dxa" w:w="3120"/>
          </w:tcPr>
          <w:p>
            <w:pPr>
              <w:spacing w:after="0"/>
            </w:pPr>
            <w:r>
              <w:rPr>
                <w:sz w:val="17"/>
              </w:rPr>
              <w:t>None (revolving)</w:t>
            </w:r>
          </w:p>
        </w:tc>
        <w:tc>
          <w:tcPr>
            <w:tcW w:type="dxa" w:w="3120"/>
          </w:tcPr>
          <w:p>
            <w:pPr>
              <w:spacing w:after="0"/>
            </w:pPr>
            <w:r>
              <w:rPr>
                <w:sz w:val="17"/>
              </w:rPr>
              <w:t>Unchanged</w:t>
            </w:r>
          </w:p>
        </w:tc>
      </w:tr>
      <w:tr>
        <w:tc>
          <w:tcPr>
            <w:tcW w:type="dxa" w:w="3120"/>
          </w:tcPr>
          <w:p>
            <w:pPr>
              <w:spacing w:after="0"/>
            </w:pPr>
            <w:r>
              <w:rPr>
                <w:sz w:val="17"/>
              </w:rPr>
              <w:t>Financial covenants</w:t>
            </w:r>
          </w:p>
        </w:tc>
        <w:tc>
          <w:tcPr>
            <w:tcW w:type="dxa" w:w="3120"/>
          </w:tcPr>
          <w:p>
            <w:pPr>
              <w:spacing w:after="0"/>
            </w:pPr>
            <w:r>
              <w:rPr>
                <w:sz w:val="17"/>
              </w:rPr>
              <w:t>No NAV, leverage or liquidity maintenance test and no step-downs. Credit support is the Borrowing Base (definition in Exhibit 3B), tested at every borrowing and in each borrowing base certificate. Principal above the Available Commitment triggers mandatory prepayment. Cure: the Agent may issue capital calls on investors to cure an Event of Default (Section 11.03)</w:t>
            </w:r>
          </w:p>
        </w:tc>
        <w:tc>
          <w:tcPr>
            <w:tcW w:type="dxa" w:w="3120"/>
          </w:tcPr>
          <w:p>
            <w:pPr>
              <w:spacing w:after="0"/>
            </w:pPr>
            <w:r>
              <w:rPr>
                <w:sz w:val="17"/>
              </w:rPr>
              <w:t>Unchanged</w:t>
            </w:r>
          </w:p>
        </w:tc>
      </w:tr>
      <w:tr>
        <w:tc>
          <w:tcPr>
            <w:tcW w:type="dxa" w:w="3120"/>
          </w:tcPr>
          <w:p>
            <w:pPr>
              <w:spacing w:after="0"/>
            </w:pPr>
            <w:r>
              <w:rPr>
                <w:sz w:val="17"/>
              </w:rPr>
              <w:t>Key negative covenants</w:t>
            </w:r>
          </w:p>
        </w:tc>
        <w:tc>
          <w:tcPr>
            <w:tcW w:type="dxa" w:w="3120"/>
          </w:tcPr>
          <w:p>
            <w:pPr>
              <w:spacing w:after="0"/>
            </w:pPr>
            <w:r>
              <w:rPr>
                <w:sz w:val="17"/>
              </w:rPr>
              <w:t>Debt basket: no Indebtedness above the limits in the Governing Agreement (10.10); the only leverage test is the 1940 Act asset coverage minimum of 150%, measured on gross senior securities. No liens on the Collateral (10.02); no distributions while a Mandatory Prepayment Event or Event of Default exists, except distributions needed to keep RIC status (10.09); restrictions on investor transfers and admissions (10.05), changes to commitments (10.06) and amendments to constituent documents affecting capital calls (10.04)</w:t>
            </w:r>
          </w:p>
        </w:tc>
        <w:tc>
          <w:tcPr>
            <w:tcW w:type="dxa" w:w="3120"/>
          </w:tcPr>
          <w:p>
            <w:pPr>
              <w:spacing w:after="0"/>
            </w:pPr>
            <w:r>
              <w:rPr>
                <w:sz w:val="17"/>
              </w:rPr>
              <w:t>Unchanged</w:t>
            </w:r>
          </w:p>
        </w:tc>
      </w:tr>
      <w:tr>
        <w:tc>
          <w:tcPr>
            <w:tcW w:type="dxa" w:w="3120"/>
          </w:tcPr>
          <w:p>
            <w:pPr>
              <w:spacing w:after="0"/>
            </w:pPr>
            <w:r>
              <w:rPr>
                <w:sz w:val="17"/>
              </w:rPr>
              <w:t>Mandatory prepayment</w:t>
            </w:r>
          </w:p>
        </w:tc>
        <w:tc>
          <w:tcPr>
            <w:tcW w:type="dxa" w:w="3120"/>
          </w:tcPr>
          <w:p>
            <w:pPr>
              <w:spacing w:after="0"/>
            </w:pPr>
            <w:r>
              <w:rPr>
                <w:sz w:val="17"/>
              </w:rPr>
              <w:t>No excess-cash-flow sweep or asset-sale prepayment (portfolio assets are not collateral). If principal exceeds the Available Commitment (for example after an Exclusion Event or a concentration limit), repay within 3 Business Days from the Collateral Account, or within 15 Business Days by issuing capital calls (Section 3.04)</w:t>
            </w:r>
          </w:p>
        </w:tc>
        <w:tc>
          <w:tcPr>
            <w:tcW w:type="dxa" w:w="3120"/>
          </w:tcPr>
          <w:p>
            <w:pPr>
              <w:spacing w:after="0"/>
            </w:pPr>
            <w:r>
              <w:rPr>
                <w:sz w:val="17"/>
              </w:rPr>
              <w:t>Unchanged</w:t>
            </w:r>
          </w:p>
        </w:tc>
      </w:tr>
      <w:tr>
        <w:tc>
          <w:tcPr>
            <w:tcW w:type="dxa" w:w="3120"/>
          </w:tcPr>
          <w:p>
            <w:pPr>
              <w:spacing w:after="0"/>
            </w:pPr>
            <w:r>
              <w:rPr>
                <w:sz w:val="17"/>
              </w:rPr>
              <w:t>Reporting</w:t>
            </w:r>
          </w:p>
        </w:tc>
        <w:tc>
          <w:tcPr>
            <w:tcW w:type="dxa" w:w="3120"/>
          </w:tcPr>
          <w:p>
            <w:pPr>
              <w:spacing w:after="0"/>
            </w:pPr>
            <w:r>
              <w:rPr>
                <w:sz w:val="17"/>
              </w:rPr>
              <w:t>Borrowing base certificate monthly by the 7th, with each loan request, within 5 Business Days of each capital call notice, and within 3 Business Days of an Exclusion Event; quarterly financials within 60 days; audited annual financials within 120 days; compliance certificate (Section 9.01)</w:t>
            </w:r>
          </w:p>
        </w:tc>
        <w:tc>
          <w:tcPr>
            <w:tcW w:type="dxa" w:w="3120"/>
          </w:tcPr>
          <w:p>
            <w:pPr>
              <w:spacing w:after="0"/>
            </w:pPr>
            <w:r>
              <w:rPr>
                <w:sz w:val="17"/>
              </w:rPr>
              <w:t>Unchanged</w:t>
            </w:r>
          </w:p>
        </w:tc>
      </w:tr>
      <w:tr>
        <w:tc>
          <w:tcPr>
            <w:tcW w:type="dxa" w:w="3120"/>
          </w:tcPr>
          <w:p>
            <w:pPr>
              <w:spacing w:after="0"/>
            </w:pPr>
            <w:r>
              <w:rPr>
                <w:sz w:val="17"/>
              </w:rPr>
              <w:t>Events of Default (selected)</w:t>
            </w:r>
          </w:p>
        </w:tc>
        <w:tc>
          <w:tcPr>
            <w:tcW w:type="dxa" w:w="3120"/>
          </w:tcPr>
          <w:p>
            <w:pPr>
              <w:spacing w:after="0"/>
            </w:pPr>
            <w:r>
              <w:rPr>
                <w:sz w:val="17"/>
              </w:rPr>
              <w:t>Payment default; cross-default and judgments above $15.0M; change of control; non-affiliated Borrowing Base Investors with 15% or more of total commitments failing to fund a call for 15 Business Days (Section 11.01)</w:t>
            </w:r>
          </w:p>
        </w:tc>
        <w:tc>
          <w:tcPr>
            <w:tcW w:type="dxa" w:w="3120"/>
          </w:tcPr>
          <w:p>
            <w:pPr>
              <w:spacing w:after="0"/>
            </w:pPr>
            <w:r>
              <w:rPr>
                <w:sz w:val="17"/>
              </w:rPr>
              <w:t>Unchanged</w:t>
            </w:r>
          </w:p>
        </w:tc>
      </w:tr>
      <w:tr>
        <w:tc>
          <w:tcPr>
            <w:tcW w:type="dxa" w:w="3120"/>
          </w:tcPr>
          <w:p>
            <w:pPr>
              <w:spacing w:after="0"/>
            </w:pPr>
            <w:r>
              <w:rPr>
                <w:sz w:val="17"/>
              </w:rPr>
              <w:t>Borrowing base (asset-class specifics)</w:t>
            </w:r>
          </w:p>
        </w:tc>
        <w:tc>
          <w:tcPr>
            <w:tcW w:type="dxa" w:w="3120"/>
          </w:tcPr>
          <w:p>
            <w:pPr>
              <w:spacing w:after="0"/>
            </w:pPr>
            <w:r>
              <w:rPr>
                <w:sz w:val="17"/>
              </w:rPr>
              <w:t>Advance rates, eligibility, concentration limits and Exclusion Events per Exhibit 3B</w:t>
            </w:r>
          </w:p>
        </w:tc>
        <w:tc>
          <w:tcPr>
            <w:tcW w:type="dxa" w:w="3120"/>
          </w:tcPr>
          <w:p>
            <w:pPr>
              <w:spacing w:after="0"/>
            </w:pPr>
            <w:r>
              <w:rPr>
                <w:sz w:val="17"/>
              </w:rPr>
              <w:t>Smithfield Street feeder reclassified from Designated Investor to Non-Rated Included Investor</w:t>
            </w:r>
          </w:p>
        </w:tc>
      </w:tr>
    </w:tbl>
    <w:p>
      <w:pPr>
        <w:spacing w:after="40"/>
      </w:pPr>
    </w:p>
    <w:p>
      <w:pPr>
        <w:spacing w:after="80"/>
      </w:pPr>
      <w:r>
        <w:rPr>
          <w:b/>
        </w:rPr>
        <w:t>Exhibit 4A: The request (HYPOTHETICAL letter from TCW, dated Oct 5, 2026)</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3119"/>
        <w:gridCol w:w="3119"/>
        <w:gridCol w:w="3119"/>
      </w:tblGrid>
      <w:tr>
        <w:tc>
          <w:tcPr>
            <w:tcW w:type="dxa" w:w="3120"/>
            <w:shd w:val="clear" w:color="auto" w:fill="E4EAF3"/>
          </w:tcPr>
          <w:p>
            <w:pPr>
              <w:spacing w:after="0"/>
            </w:pPr>
            <w:r>
              <w:rPr>
                <w:b/>
                <w:color w:val="121826"/>
                <w:sz w:val="17"/>
              </w:rPr>
              <w:t>Term</w:t>
            </w:r>
          </w:p>
        </w:tc>
        <w:tc>
          <w:tcPr>
            <w:tcW w:type="dxa" w:w="3120"/>
            <w:shd w:val="clear" w:color="auto" w:fill="E4EAF3"/>
          </w:tcPr>
          <w:p>
            <w:pPr>
              <w:spacing w:after="0"/>
            </w:pPr>
            <w:r>
              <w:rPr>
                <w:b/>
                <w:color w:val="121826"/>
                <w:sz w:val="17"/>
              </w:rPr>
              <w:t>Current (real)</w:t>
            </w:r>
          </w:p>
        </w:tc>
        <w:tc>
          <w:tcPr>
            <w:tcW w:type="dxa" w:w="3120"/>
            <w:shd w:val="clear" w:color="auto" w:fill="E4EAF3"/>
          </w:tcPr>
          <w:p>
            <w:pPr>
              <w:spacing w:after="0"/>
            </w:pPr>
            <w:r>
              <w:rPr>
                <w:b/>
                <w:color w:val="121826"/>
                <w:sz w:val="17"/>
              </w:rPr>
              <w:t>Requested (HYPOTHETICAL)</w:t>
            </w:r>
          </w:p>
        </w:tc>
      </w:tr>
      <w:tr>
        <w:tc>
          <w:tcPr>
            <w:tcW w:type="dxa" w:w="3120"/>
          </w:tcPr>
          <w:p>
            <w:pPr>
              <w:spacing w:after="0"/>
            </w:pPr>
            <w:r>
              <w:rPr>
                <w:sz w:val="17"/>
              </w:rPr>
              <w:t>Maximum Commitment</w:t>
            </w:r>
          </w:p>
        </w:tc>
        <w:tc>
          <w:tcPr>
            <w:tcW w:type="dxa" w:w="3120"/>
          </w:tcPr>
          <w:p>
            <w:pPr>
              <w:spacing w:after="0"/>
            </w:pPr>
            <w:r>
              <w:rPr>
                <w:sz w:val="17"/>
              </w:rPr>
              <w:t>$200.0M (Natixis / Versailles Assets LLC)</w:t>
            </w:r>
          </w:p>
        </w:tc>
        <w:tc>
          <w:tcPr>
            <w:tcW w:type="dxa" w:w="3120"/>
          </w:tcPr>
          <w:p>
            <w:pPr>
              <w:spacing w:after="0"/>
            </w:pPr>
            <w:r>
              <w:rPr>
                <w:sz w:val="17"/>
              </w:rPr>
              <w:t>$250.0M: Natixis group $200.0M plus Calloway Trust Bank $50.0M as a new Committed Lender (Section 2.17 increase)</w:t>
            </w:r>
          </w:p>
        </w:tc>
      </w:tr>
      <w:tr>
        <w:tc>
          <w:tcPr>
            <w:tcW w:type="dxa" w:w="3120"/>
          </w:tcPr>
          <w:p>
            <w:pPr>
              <w:spacing w:after="0"/>
            </w:pPr>
            <w:r>
              <w:rPr>
                <w:sz w:val="17"/>
              </w:rPr>
              <w:t>Stated Maturity Date</w:t>
            </w:r>
          </w:p>
        </w:tc>
        <w:tc>
          <w:tcPr>
            <w:tcW w:type="dxa" w:w="3120"/>
          </w:tcPr>
          <w:p>
            <w:pPr>
              <w:spacing w:after="0"/>
            </w:pPr>
            <w:r>
              <w:rPr>
                <w:sz w:val="17"/>
              </w:rPr>
              <w:t>Apr 21, 2027</w:t>
            </w:r>
          </w:p>
        </w:tc>
        <w:tc>
          <w:tcPr>
            <w:tcW w:type="dxa" w:w="3120"/>
          </w:tcPr>
          <w:p>
            <w:pPr>
              <w:spacing w:after="0"/>
            </w:pPr>
            <w:r>
              <w:rPr>
                <w:sz w:val="17"/>
              </w:rPr>
              <w:t>Apr 21, 2029</w:t>
            </w:r>
          </w:p>
        </w:tc>
      </w:tr>
      <w:tr>
        <w:tc>
          <w:tcPr>
            <w:tcW w:type="dxa" w:w="3120"/>
          </w:tcPr>
          <w:p>
            <w:pPr>
              <w:spacing w:after="0"/>
            </w:pPr>
            <w:r>
              <w:rPr>
                <w:sz w:val="17"/>
              </w:rPr>
              <w:t>Extension</w:t>
            </w:r>
          </w:p>
        </w:tc>
        <w:tc>
          <w:tcPr>
            <w:tcW w:type="dxa" w:w="3120"/>
          </w:tcPr>
          <w:p>
            <w:pPr>
              <w:spacing w:after="0"/>
            </w:pPr>
            <w:r>
              <w:rPr>
                <w:sz w:val="17"/>
              </w:rPr>
              <w:t>One 12-month extension; needs consent of the Agent and all Lenders in their sole discretion (Section 2.16)</w:t>
            </w:r>
          </w:p>
        </w:tc>
        <w:tc>
          <w:tcPr>
            <w:tcW w:type="dxa" w:w="3120"/>
          </w:tcPr>
          <w:p>
            <w:pPr>
              <w:spacing w:after="0"/>
            </w:pPr>
            <w:r>
              <w:rPr>
                <w:sz w:val="17"/>
              </w:rPr>
              <w:t>One 12-month extension at the Borrower's option, subject to no Default and a 0.10% extension fee</w:t>
            </w:r>
          </w:p>
        </w:tc>
      </w:tr>
      <w:tr>
        <w:tc>
          <w:tcPr>
            <w:tcW w:type="dxa" w:w="3120"/>
          </w:tcPr>
          <w:p>
            <w:pPr>
              <w:spacing w:after="0"/>
            </w:pPr>
            <w:r>
              <w:rPr>
                <w:sz w:val="17"/>
              </w:rPr>
              <w:t>Margin (Term SOFR / CP Rate loans)</w:t>
            </w:r>
          </w:p>
        </w:tc>
        <w:tc>
          <w:tcPr>
            <w:tcW w:type="dxa" w:w="3120"/>
          </w:tcPr>
          <w:p>
            <w:pPr>
              <w:spacing w:after="0"/>
              <w:jc w:val="right"/>
            </w:pPr>
            <w:r>
              <w:rPr>
                <w:sz w:val="17"/>
              </w:rPr>
              <w:t>2.10%</w:t>
            </w:r>
          </w:p>
        </w:tc>
        <w:tc>
          <w:tcPr>
            <w:tcW w:type="dxa" w:w="3120"/>
          </w:tcPr>
          <w:p>
            <w:pPr>
              <w:spacing w:after="0"/>
            </w:pPr>
            <w:r>
              <w:rPr>
                <w:sz w:val="17"/>
              </w:rPr>
              <w:t>2.10% (unchanged)</w:t>
            </w:r>
          </w:p>
        </w:tc>
      </w:tr>
      <w:tr>
        <w:tc>
          <w:tcPr>
            <w:tcW w:type="dxa" w:w="3120"/>
          </w:tcPr>
          <w:p>
            <w:pPr>
              <w:spacing w:after="0"/>
            </w:pPr>
            <w:r>
              <w:rPr>
                <w:sz w:val="17"/>
              </w:rPr>
              <w:t>Unused commitment fee</w:t>
            </w:r>
          </w:p>
        </w:tc>
        <w:tc>
          <w:tcPr>
            <w:tcW w:type="dxa" w:w="3120"/>
          </w:tcPr>
          <w:p>
            <w:pPr>
              <w:spacing w:after="0"/>
            </w:pPr>
            <w:r>
              <w:rPr>
                <w:sz w:val="17"/>
              </w:rPr>
              <w:t>0.30% if unused ≤50% of Maximum Commitment; 0.50% if &gt;50%</w:t>
            </w:r>
          </w:p>
        </w:tc>
        <w:tc>
          <w:tcPr>
            <w:tcW w:type="dxa" w:w="3120"/>
          </w:tcPr>
          <w:p>
            <w:pPr>
              <w:spacing w:after="0"/>
            </w:pPr>
            <w:r>
              <w:rPr>
                <w:sz w:val="17"/>
              </w:rPr>
              <w:t>Unchanged</w:t>
            </w:r>
          </w:p>
        </w:tc>
      </w:tr>
      <w:tr>
        <w:tc>
          <w:tcPr>
            <w:tcW w:type="dxa" w:w="3120"/>
          </w:tcPr>
          <w:p>
            <w:pPr>
              <w:spacing w:after="0"/>
            </w:pPr>
            <w:r>
              <w:rPr>
                <w:sz w:val="17"/>
              </w:rPr>
              <w:t>Upfront fee</w:t>
            </w:r>
          </w:p>
        </w:tc>
        <w:tc>
          <w:tcPr>
            <w:tcW w:type="dxa" w:w="3120"/>
          </w:tcPr>
          <w:p>
            <w:pPr>
              <w:spacing w:after="0"/>
            </w:pPr>
            <w:r>
              <w:rPr>
                <w:sz w:val="17"/>
              </w:rPr>
              <w:t>n/d (separate fee letter)</w:t>
            </w:r>
          </w:p>
        </w:tc>
        <w:tc>
          <w:tcPr>
            <w:tcW w:type="dxa" w:w="3120"/>
          </w:tcPr>
          <w:p>
            <w:pPr>
              <w:spacing w:after="0"/>
            </w:pPr>
            <w:r>
              <w:rPr>
                <w:sz w:val="17"/>
              </w:rPr>
              <w:t>0.20% on the new and extended commitments</w:t>
            </w:r>
          </w:p>
        </w:tc>
      </w:tr>
      <w:tr>
        <w:tc>
          <w:tcPr>
            <w:tcW w:type="dxa" w:w="3120"/>
          </w:tcPr>
          <w:p>
            <w:pPr>
              <w:spacing w:after="0"/>
            </w:pPr>
            <w:r>
              <w:rPr>
                <w:sz w:val="17"/>
              </w:rPr>
              <w:t>Smithfield Street feeder classification</w:t>
            </w:r>
          </w:p>
        </w:tc>
        <w:tc>
          <w:tcPr>
            <w:tcW w:type="dxa" w:w="3120"/>
          </w:tcPr>
          <w:p>
            <w:pPr>
              <w:spacing w:after="0"/>
            </w:pPr>
            <w:r>
              <w:rPr>
                <w:sz w:val="17"/>
              </w:rPr>
              <w:t>Designated Investor (65% advance rate; 5% individual concentration limit)</w:t>
            </w:r>
          </w:p>
        </w:tc>
        <w:tc>
          <w:tcPr>
            <w:tcW w:type="dxa" w:w="3120"/>
          </w:tcPr>
          <w:p>
            <w:pPr>
              <w:spacing w:after="0"/>
            </w:pPr>
            <w:r>
              <w:rPr>
                <w:sz w:val="17"/>
              </w:rPr>
              <w:t>Reclassify as a Non-Rated Included Investor (90% advance rate; 15% individual limit)</w:t>
            </w:r>
          </w:p>
        </w:tc>
      </w:tr>
      <w:tr>
        <w:tc>
          <w:tcPr>
            <w:tcW w:type="dxa" w:w="3120"/>
          </w:tcPr>
          <w:p>
            <w:pPr>
              <w:spacing w:after="0"/>
            </w:pPr>
            <w:r>
              <w:rPr>
                <w:sz w:val="17"/>
              </w:rPr>
              <w:t>All other terms</w:t>
            </w:r>
          </w:p>
        </w:tc>
        <w:tc>
          <w:tcPr>
            <w:tcW w:type="dxa" w:w="3120"/>
          </w:tcPr>
          <w:p>
            <w:pPr>
              <w:spacing w:after="0"/>
            </w:pPr>
            <w:r>
              <w:rPr>
                <w:sz w:val="17"/>
              </w:rPr>
              <w:t>Revolving Credit Agreement dated Apr 21, 2025, as amended</w:t>
            </w:r>
          </w:p>
        </w:tc>
        <w:tc>
          <w:tcPr>
            <w:tcW w:type="dxa" w:w="3120"/>
          </w:tcPr>
          <w:p>
            <w:pPr>
              <w:spacing w:after="0"/>
            </w:pPr>
            <w:r>
              <w:rPr>
                <w:sz w:val="17"/>
              </w:rPr>
              <w:t>Unchanged</w:t>
            </w:r>
          </w:p>
        </w:tc>
      </w:tr>
    </w:tbl>
    <w:p>
      <w:pPr>
        <w:spacing w:after="40"/>
      </w:pPr>
    </w:p>
    <w:p>
      <w:pPr>
        <w:spacing w:after="80"/>
      </w:pPr>
      <w:r>
        <w:rPr>
          <w:b/>
        </w:rPr>
        <w:t>Exhibit 4B: The Advisor's projections (HYPOTHETICAL, unaudited)</w:t>
      </w:r>
    </w:p>
    <w:p>
      <w:r>
        <w:rPr>
          <w:i/>
          <w:color w:val="5B6475"/>
          <w:sz w:val="16"/>
        </w:rPr>
        <w:t>Units: $ in millions per quarter. The Advisor states that calls are made pro rata to unfunded commitments.</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2448"/>
        <w:gridCol w:w="987"/>
        <w:gridCol w:w="987"/>
        <w:gridCol w:w="987"/>
        <w:gridCol w:w="987"/>
        <w:gridCol w:w="987"/>
        <w:gridCol w:w="987"/>
        <w:gridCol w:w="987"/>
      </w:tblGrid>
      <w:tr>
        <w:tc>
          <w:tcPr>
            <w:tcW w:type="dxa" w:w="2448"/>
            <w:shd w:val="clear" w:color="auto" w:fill="E4EAF3"/>
          </w:tcPr>
          <w:p>
            <w:pPr>
              <w:spacing w:after="0"/>
            </w:pPr>
            <w:r>
              <w:rPr>
                <w:b/>
                <w:color w:val="121826"/>
                <w:sz w:val="15"/>
              </w:rPr>
              <w:t>$ in millions</w:t>
            </w:r>
          </w:p>
        </w:tc>
        <w:tc>
          <w:tcPr>
            <w:tcW w:type="dxa" w:w="987"/>
            <w:shd w:val="clear" w:color="auto" w:fill="E4EAF3"/>
          </w:tcPr>
          <w:p>
            <w:pPr>
              <w:spacing w:after="0"/>
            </w:pPr>
            <w:r>
              <w:rPr>
                <w:b/>
                <w:color w:val="121826"/>
                <w:sz w:val="15"/>
              </w:rPr>
              <w:t>Q4-26E</w:t>
            </w:r>
          </w:p>
        </w:tc>
        <w:tc>
          <w:tcPr>
            <w:tcW w:type="dxa" w:w="987"/>
            <w:shd w:val="clear" w:color="auto" w:fill="E4EAF3"/>
          </w:tcPr>
          <w:p>
            <w:pPr>
              <w:spacing w:after="0"/>
            </w:pPr>
            <w:r>
              <w:rPr>
                <w:b/>
                <w:color w:val="121826"/>
                <w:sz w:val="15"/>
              </w:rPr>
              <w:t>Q1-27E</w:t>
            </w:r>
          </w:p>
        </w:tc>
        <w:tc>
          <w:tcPr>
            <w:tcW w:type="dxa" w:w="987"/>
            <w:shd w:val="clear" w:color="auto" w:fill="E4EAF3"/>
          </w:tcPr>
          <w:p>
            <w:pPr>
              <w:spacing w:after="0"/>
            </w:pPr>
            <w:r>
              <w:rPr>
                <w:b/>
                <w:color w:val="121826"/>
                <w:sz w:val="15"/>
              </w:rPr>
              <w:t>Q2-27E</w:t>
            </w:r>
          </w:p>
        </w:tc>
        <w:tc>
          <w:tcPr>
            <w:tcW w:type="dxa" w:w="987"/>
            <w:shd w:val="clear" w:color="auto" w:fill="E4EAF3"/>
          </w:tcPr>
          <w:p>
            <w:pPr>
              <w:spacing w:after="0"/>
            </w:pPr>
            <w:r>
              <w:rPr>
                <w:b/>
                <w:color w:val="121826"/>
                <w:sz w:val="15"/>
              </w:rPr>
              <w:t>Q3-27E</w:t>
            </w:r>
          </w:p>
        </w:tc>
        <w:tc>
          <w:tcPr>
            <w:tcW w:type="dxa" w:w="987"/>
            <w:shd w:val="clear" w:color="auto" w:fill="E4EAF3"/>
          </w:tcPr>
          <w:p>
            <w:pPr>
              <w:spacing w:after="0"/>
            </w:pPr>
            <w:r>
              <w:rPr>
                <w:b/>
                <w:color w:val="121826"/>
                <w:sz w:val="15"/>
              </w:rPr>
              <w:t>Q4-27E</w:t>
            </w:r>
          </w:p>
        </w:tc>
        <w:tc>
          <w:tcPr>
            <w:tcW w:type="dxa" w:w="987"/>
            <w:shd w:val="clear" w:color="auto" w:fill="E4EAF3"/>
          </w:tcPr>
          <w:p>
            <w:pPr>
              <w:spacing w:after="0"/>
            </w:pPr>
            <w:r>
              <w:rPr>
                <w:b/>
                <w:color w:val="121826"/>
                <w:sz w:val="15"/>
              </w:rPr>
              <w:t>Q1-28E</w:t>
            </w:r>
          </w:p>
        </w:tc>
        <w:tc>
          <w:tcPr>
            <w:tcW w:type="dxa" w:w="987"/>
            <w:shd w:val="clear" w:color="auto" w:fill="E4EAF3"/>
          </w:tcPr>
          <w:p>
            <w:pPr>
              <w:spacing w:after="0"/>
            </w:pPr>
            <w:r>
              <w:rPr>
                <w:b/>
                <w:color w:val="121826"/>
                <w:sz w:val="15"/>
              </w:rPr>
              <w:t>Total</w:t>
            </w:r>
          </w:p>
        </w:tc>
      </w:tr>
      <w:tr>
        <w:tc>
          <w:tcPr>
            <w:tcW w:type="dxa" w:w="2448"/>
          </w:tcPr>
          <w:p>
            <w:pPr>
              <w:spacing w:after="0"/>
            </w:pPr>
            <w:r>
              <w:rPr>
                <w:sz w:val="15"/>
              </w:rPr>
              <w:t>Projected capital calls</w:t>
            </w:r>
          </w:p>
        </w:tc>
        <w:tc>
          <w:tcPr>
            <w:tcW w:type="dxa" w:w="987"/>
          </w:tcPr>
          <w:p>
            <w:pPr>
              <w:spacing w:after="0"/>
              <w:jc w:val="right"/>
            </w:pPr>
            <w:r>
              <w:rPr>
                <w:sz w:val="15"/>
              </w:rPr>
              <w:t>40.0</w:t>
            </w:r>
          </w:p>
        </w:tc>
        <w:tc>
          <w:tcPr>
            <w:tcW w:type="dxa" w:w="987"/>
          </w:tcPr>
          <w:p>
            <w:pPr>
              <w:spacing w:after="0"/>
              <w:jc w:val="right"/>
            </w:pPr>
            <w:r>
              <w:rPr>
                <w:sz w:val="15"/>
              </w:rPr>
              <w:t>45.0</w:t>
            </w:r>
          </w:p>
        </w:tc>
        <w:tc>
          <w:tcPr>
            <w:tcW w:type="dxa" w:w="987"/>
          </w:tcPr>
          <w:p>
            <w:pPr>
              <w:spacing w:after="0"/>
              <w:jc w:val="right"/>
            </w:pPr>
            <w:r>
              <w:rPr>
                <w:sz w:val="15"/>
              </w:rPr>
              <w:t>45.0</w:t>
            </w:r>
          </w:p>
        </w:tc>
        <w:tc>
          <w:tcPr>
            <w:tcW w:type="dxa" w:w="987"/>
          </w:tcPr>
          <w:p>
            <w:pPr>
              <w:spacing w:after="0"/>
              <w:jc w:val="right"/>
            </w:pPr>
            <w:r>
              <w:rPr>
                <w:sz w:val="15"/>
              </w:rPr>
              <w:t>40.0</w:t>
            </w:r>
          </w:p>
        </w:tc>
        <w:tc>
          <w:tcPr>
            <w:tcW w:type="dxa" w:w="987"/>
          </w:tcPr>
          <w:p>
            <w:pPr>
              <w:spacing w:after="0"/>
              <w:jc w:val="right"/>
            </w:pPr>
            <w:r>
              <w:rPr>
                <w:sz w:val="15"/>
              </w:rPr>
              <w:t>35.0</w:t>
            </w:r>
          </w:p>
        </w:tc>
        <w:tc>
          <w:tcPr>
            <w:tcW w:type="dxa" w:w="987"/>
          </w:tcPr>
          <w:p>
            <w:pPr>
              <w:spacing w:after="0"/>
              <w:jc w:val="right"/>
            </w:pPr>
            <w:r>
              <w:rPr>
                <w:sz w:val="15"/>
              </w:rPr>
              <w:t>30.0</w:t>
            </w:r>
          </w:p>
        </w:tc>
        <w:tc>
          <w:tcPr>
            <w:tcW w:type="dxa" w:w="987"/>
          </w:tcPr>
          <w:p>
            <w:pPr>
              <w:spacing w:after="0"/>
              <w:jc w:val="right"/>
            </w:pPr>
            <w:r>
              <w:rPr>
                <w:sz w:val="15"/>
              </w:rPr>
              <w:t>235.0</w:t>
            </w:r>
          </w:p>
        </w:tc>
      </w:tr>
      <w:tr>
        <w:tc>
          <w:tcPr>
            <w:tcW w:type="dxa" w:w="2448"/>
          </w:tcPr>
          <w:p>
            <w:pPr>
              <w:spacing w:after="0"/>
            </w:pPr>
            <w:r>
              <w:rPr>
                <w:sz w:val="15"/>
              </w:rPr>
              <w:t>New commitments: signed</w:t>
            </w:r>
          </w:p>
        </w:tc>
        <w:tc>
          <w:tcPr>
            <w:tcW w:type="dxa" w:w="987"/>
          </w:tcPr>
          <w:p>
            <w:pPr>
              <w:spacing w:after="0"/>
              <w:jc w:val="right"/>
            </w:pPr>
            <w:r>
              <w:rPr>
                <w:sz w:val="15"/>
              </w:rPr>
              <w:t>0.0</w:t>
            </w:r>
          </w:p>
        </w:tc>
        <w:tc>
          <w:tcPr>
            <w:tcW w:type="dxa" w:w="987"/>
          </w:tcPr>
          <w:p>
            <w:pPr>
              <w:spacing w:after="0"/>
              <w:jc w:val="right"/>
            </w:pPr>
            <w:r>
              <w:rPr>
                <w:sz w:val="15"/>
              </w:rPr>
              <w:t>15.0</w:t>
            </w:r>
          </w:p>
        </w:tc>
        <w:tc>
          <w:tcPr>
            <w:tcW w:type="dxa" w:w="987"/>
          </w:tcPr>
          <w:p>
            <w:pPr>
              <w:spacing w:after="0"/>
              <w:jc w:val="right"/>
            </w:pPr>
            <w:r>
              <w:rPr>
                <w:sz w:val="15"/>
              </w:rPr>
              <w:t>0.0</w:t>
            </w:r>
          </w:p>
        </w:tc>
        <w:tc>
          <w:tcPr>
            <w:tcW w:type="dxa" w:w="987"/>
          </w:tcPr>
          <w:p>
            <w:pPr>
              <w:spacing w:after="0"/>
              <w:jc w:val="right"/>
            </w:pPr>
            <w:r>
              <w:rPr>
                <w:sz w:val="15"/>
              </w:rPr>
              <w:t>0.0</w:t>
            </w:r>
          </w:p>
        </w:tc>
        <w:tc>
          <w:tcPr>
            <w:tcW w:type="dxa" w:w="987"/>
          </w:tcPr>
          <w:p>
            <w:pPr>
              <w:spacing w:after="0"/>
              <w:jc w:val="right"/>
            </w:pPr>
            <w:r>
              <w:rPr>
                <w:sz w:val="15"/>
              </w:rPr>
              <w:t>0.0</w:t>
            </w:r>
          </w:p>
        </w:tc>
        <w:tc>
          <w:tcPr>
            <w:tcW w:type="dxa" w:w="987"/>
          </w:tcPr>
          <w:p>
            <w:pPr>
              <w:spacing w:after="0"/>
              <w:jc w:val="right"/>
            </w:pPr>
            <w:r>
              <w:rPr>
                <w:sz w:val="15"/>
              </w:rPr>
              <w:t>0.0</w:t>
            </w:r>
          </w:p>
        </w:tc>
        <w:tc>
          <w:tcPr>
            <w:tcW w:type="dxa" w:w="987"/>
          </w:tcPr>
          <w:p>
            <w:pPr>
              <w:spacing w:after="0"/>
              <w:jc w:val="right"/>
            </w:pPr>
            <w:r>
              <w:rPr>
                <w:sz w:val="15"/>
              </w:rPr>
              <w:t>15.0</w:t>
            </w:r>
          </w:p>
        </w:tc>
      </w:tr>
      <w:tr>
        <w:tc>
          <w:tcPr>
            <w:tcW w:type="dxa" w:w="2448"/>
          </w:tcPr>
          <w:p>
            <w:pPr>
              <w:spacing w:after="0"/>
            </w:pPr>
            <w:r>
              <w:rPr>
                <w:sz w:val="15"/>
              </w:rPr>
              <w:t>New commitments: targeted, not signed</w:t>
            </w:r>
          </w:p>
        </w:tc>
        <w:tc>
          <w:tcPr>
            <w:tcW w:type="dxa" w:w="987"/>
          </w:tcPr>
          <w:p>
            <w:pPr>
              <w:spacing w:after="0"/>
              <w:jc w:val="right"/>
            </w:pPr>
            <w:r>
              <w:rPr>
                <w:sz w:val="15"/>
              </w:rPr>
              <w:t>0.0</w:t>
            </w:r>
          </w:p>
        </w:tc>
        <w:tc>
          <w:tcPr>
            <w:tcW w:type="dxa" w:w="987"/>
          </w:tcPr>
          <w:p>
            <w:pPr>
              <w:spacing w:after="0"/>
              <w:jc w:val="right"/>
            </w:pPr>
            <w:r>
              <w:rPr>
                <w:sz w:val="15"/>
              </w:rPr>
              <w:t>25.0</w:t>
            </w:r>
          </w:p>
        </w:tc>
        <w:tc>
          <w:tcPr>
            <w:tcW w:type="dxa" w:w="987"/>
          </w:tcPr>
          <w:p>
            <w:pPr>
              <w:spacing w:after="0"/>
              <w:jc w:val="right"/>
            </w:pPr>
            <w:r>
              <w:rPr>
                <w:sz w:val="15"/>
              </w:rPr>
              <w:t>40.0</w:t>
            </w:r>
          </w:p>
        </w:tc>
        <w:tc>
          <w:tcPr>
            <w:tcW w:type="dxa" w:w="987"/>
          </w:tcPr>
          <w:p>
            <w:pPr>
              <w:spacing w:after="0"/>
              <w:jc w:val="right"/>
            </w:pPr>
            <w:r>
              <w:rPr>
                <w:sz w:val="15"/>
              </w:rPr>
              <w:t>40.0</w:t>
            </w:r>
          </w:p>
        </w:tc>
        <w:tc>
          <w:tcPr>
            <w:tcW w:type="dxa" w:w="987"/>
          </w:tcPr>
          <w:p>
            <w:pPr>
              <w:spacing w:after="0"/>
              <w:jc w:val="right"/>
            </w:pPr>
            <w:r>
              <w:rPr>
                <w:sz w:val="15"/>
              </w:rPr>
              <w:t>30.0</w:t>
            </w:r>
          </w:p>
        </w:tc>
        <w:tc>
          <w:tcPr>
            <w:tcW w:type="dxa" w:w="987"/>
          </w:tcPr>
          <w:p>
            <w:pPr>
              <w:spacing w:after="0"/>
              <w:jc w:val="right"/>
            </w:pPr>
            <w:r>
              <w:rPr>
                <w:sz w:val="15"/>
              </w:rPr>
              <w:t>30.0</w:t>
            </w:r>
          </w:p>
        </w:tc>
        <w:tc>
          <w:tcPr>
            <w:tcW w:type="dxa" w:w="987"/>
          </w:tcPr>
          <w:p>
            <w:pPr>
              <w:spacing w:after="0"/>
              <w:jc w:val="right"/>
            </w:pPr>
            <w:r>
              <w:rPr>
                <w:sz w:val="15"/>
              </w:rPr>
              <w:t>165.0</w:t>
            </w:r>
          </w:p>
        </w:tc>
      </w:tr>
      <w:tr>
        <w:tc>
          <w:tcPr>
            <w:tcW w:type="dxa" w:w="2448"/>
          </w:tcPr>
          <w:p>
            <w:pPr>
              <w:spacing w:after="0"/>
            </w:pPr>
            <w:r>
              <w:rPr>
                <w:sz w:val="15"/>
              </w:rPr>
              <w:t>Projected peak sub line usage</w:t>
            </w:r>
          </w:p>
        </w:tc>
        <w:tc>
          <w:tcPr>
            <w:tcW w:type="dxa" w:w="987"/>
          </w:tcPr>
          <w:p>
            <w:pPr>
              <w:spacing w:after="0"/>
              <w:jc w:val="right"/>
            </w:pPr>
            <w:r>
              <w:rPr>
                <w:sz w:val="15"/>
              </w:rPr>
              <w:t>150.0</w:t>
            </w:r>
          </w:p>
        </w:tc>
        <w:tc>
          <w:tcPr>
            <w:tcW w:type="dxa" w:w="987"/>
          </w:tcPr>
          <w:p>
            <w:pPr>
              <w:spacing w:after="0"/>
              <w:jc w:val="right"/>
            </w:pPr>
            <w:r>
              <w:rPr>
                <w:sz w:val="15"/>
              </w:rPr>
              <w:t>165.0</w:t>
            </w:r>
          </w:p>
        </w:tc>
        <w:tc>
          <w:tcPr>
            <w:tcW w:type="dxa" w:w="987"/>
          </w:tcPr>
          <w:p>
            <w:pPr>
              <w:spacing w:after="0"/>
              <w:jc w:val="right"/>
            </w:pPr>
            <w:r>
              <w:rPr>
                <w:sz w:val="15"/>
              </w:rPr>
              <w:t>175.0</w:t>
            </w:r>
          </w:p>
        </w:tc>
        <w:tc>
          <w:tcPr>
            <w:tcW w:type="dxa" w:w="987"/>
          </w:tcPr>
          <w:p>
            <w:pPr>
              <w:spacing w:after="0"/>
              <w:jc w:val="right"/>
            </w:pPr>
            <w:r>
              <w:rPr>
                <w:sz w:val="15"/>
              </w:rPr>
              <w:t>180.0</w:t>
            </w:r>
          </w:p>
        </w:tc>
        <w:tc>
          <w:tcPr>
            <w:tcW w:type="dxa" w:w="987"/>
          </w:tcPr>
          <w:p>
            <w:pPr>
              <w:spacing w:after="0"/>
              <w:jc w:val="right"/>
            </w:pPr>
            <w:r>
              <w:rPr>
                <w:sz w:val="15"/>
              </w:rPr>
              <w:t>180.0</w:t>
            </w:r>
          </w:p>
        </w:tc>
        <w:tc>
          <w:tcPr>
            <w:tcW w:type="dxa" w:w="987"/>
          </w:tcPr>
          <w:p>
            <w:pPr>
              <w:spacing w:after="0"/>
              <w:jc w:val="right"/>
            </w:pPr>
            <w:r>
              <w:rPr>
                <w:sz w:val="15"/>
              </w:rPr>
              <w:t>175.0</w:t>
            </w:r>
          </w:p>
        </w:tc>
        <w:tc>
          <w:tcPr>
            <w:tcW w:type="dxa" w:w="987"/>
          </w:tcPr>
          <w:p>
            <w:pPr>
              <w:spacing w:after="0"/>
              <w:jc w:val="right"/>
            </w:pPr>
            <w:r>
              <w:rPr>
                <w:sz w:val="15"/>
              </w:rPr>
              <w:t>n/a</w:t>
            </w:r>
          </w:p>
        </w:tc>
      </w:tr>
      <w:tr>
        <w:tc>
          <w:tcPr>
            <w:tcW w:type="dxa" w:w="2448"/>
          </w:tcPr>
          <w:p>
            <w:pPr>
              <w:spacing w:after="0"/>
            </w:pPr>
            <w:r>
              <w:rPr>
                <w:sz w:val="15"/>
              </w:rPr>
              <w:t>Projected portfolio fundings</w:t>
            </w:r>
          </w:p>
        </w:tc>
        <w:tc>
          <w:tcPr>
            <w:tcW w:type="dxa" w:w="987"/>
          </w:tcPr>
          <w:p>
            <w:pPr>
              <w:spacing w:after="0"/>
              <w:jc w:val="right"/>
            </w:pPr>
            <w:r>
              <w:rPr>
                <w:sz w:val="15"/>
              </w:rPr>
              <w:t>70.0</w:t>
            </w:r>
          </w:p>
        </w:tc>
        <w:tc>
          <w:tcPr>
            <w:tcW w:type="dxa" w:w="987"/>
          </w:tcPr>
          <w:p>
            <w:pPr>
              <w:spacing w:after="0"/>
              <w:jc w:val="right"/>
            </w:pPr>
            <w:r>
              <w:rPr>
                <w:sz w:val="15"/>
              </w:rPr>
              <w:t>65.0</w:t>
            </w:r>
          </w:p>
        </w:tc>
        <w:tc>
          <w:tcPr>
            <w:tcW w:type="dxa" w:w="987"/>
          </w:tcPr>
          <w:p>
            <w:pPr>
              <w:spacing w:after="0"/>
              <w:jc w:val="right"/>
            </w:pPr>
            <w:r>
              <w:rPr>
                <w:sz w:val="15"/>
              </w:rPr>
              <w:t>60.0</w:t>
            </w:r>
          </w:p>
        </w:tc>
        <w:tc>
          <w:tcPr>
            <w:tcW w:type="dxa" w:w="987"/>
          </w:tcPr>
          <w:p>
            <w:pPr>
              <w:spacing w:after="0"/>
              <w:jc w:val="right"/>
            </w:pPr>
            <w:r>
              <w:rPr>
                <w:sz w:val="15"/>
              </w:rPr>
              <w:t>55.0</w:t>
            </w:r>
          </w:p>
        </w:tc>
        <w:tc>
          <w:tcPr>
            <w:tcW w:type="dxa" w:w="987"/>
          </w:tcPr>
          <w:p>
            <w:pPr>
              <w:spacing w:after="0"/>
              <w:jc w:val="right"/>
            </w:pPr>
            <w:r>
              <w:rPr>
                <w:sz w:val="15"/>
              </w:rPr>
              <w:t>50.0</w:t>
            </w:r>
          </w:p>
        </w:tc>
        <w:tc>
          <w:tcPr>
            <w:tcW w:type="dxa" w:w="987"/>
          </w:tcPr>
          <w:p>
            <w:pPr>
              <w:spacing w:after="0"/>
              <w:jc w:val="right"/>
            </w:pPr>
            <w:r>
              <w:rPr>
                <w:sz w:val="15"/>
              </w:rPr>
              <w:t>45.0</w:t>
            </w:r>
          </w:p>
        </w:tc>
        <w:tc>
          <w:tcPr>
            <w:tcW w:type="dxa" w:w="987"/>
          </w:tcPr>
          <w:p>
            <w:pPr>
              <w:spacing w:after="0"/>
              <w:jc w:val="right"/>
            </w:pPr>
            <w:r>
              <w:rPr>
                <w:sz w:val="15"/>
              </w:rPr>
              <w:t>345.0</w:t>
            </w:r>
          </w:p>
        </w:tc>
      </w:tr>
    </w:tbl>
    <w:p>
      <w:pPr>
        <w:spacing w:after="40"/>
      </w:pPr>
    </w:p>
    <w:p>
      <w:r>
        <w:rPr>
          <w:i/>
          <w:color w:val="5B6475"/>
          <w:sz w:val="16"/>
        </w:rPr>
        <w:t>Source: IC Simulator (HYPOTHETICAL management case).</w:t>
      </w:r>
    </w:p>
    <w:p>
      <w:pPr>
        <w:spacing w:after="80"/>
      </w:pPr>
      <w:r>
        <w:rPr>
          <w:b/>
        </w:rPr>
        <w:t>Exhibit 4C: Market and rate context</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2736"/>
        <w:gridCol w:w="2498"/>
        <w:gridCol w:w="1389"/>
        <w:gridCol w:w="2736"/>
      </w:tblGrid>
      <w:tr>
        <w:tc>
          <w:tcPr>
            <w:tcW w:type="dxa" w:w="2736"/>
            <w:shd w:val="clear" w:color="auto" w:fill="E4EAF3"/>
          </w:tcPr>
          <w:p>
            <w:pPr>
              <w:spacing w:after="0"/>
            </w:pPr>
            <w:r>
              <w:rPr>
                <w:b/>
                <w:color w:val="121826"/>
                <w:sz w:val="17"/>
              </w:rPr>
              <w:t>ID · data point</w:t>
            </w:r>
          </w:p>
        </w:tc>
        <w:tc>
          <w:tcPr>
            <w:tcW w:type="dxa" w:w="2499"/>
            <w:shd w:val="clear" w:color="auto" w:fill="E4EAF3"/>
          </w:tcPr>
          <w:p>
            <w:pPr>
              <w:spacing w:after="0"/>
            </w:pPr>
            <w:r>
              <w:rPr>
                <w:b/>
                <w:color w:val="121826"/>
                <w:sz w:val="17"/>
              </w:rPr>
              <w:t>Value</w:t>
            </w:r>
          </w:p>
        </w:tc>
        <w:tc>
          <w:tcPr>
            <w:tcW w:type="dxa" w:w="1389"/>
            <w:shd w:val="clear" w:color="auto" w:fill="E4EAF3"/>
          </w:tcPr>
          <w:p>
            <w:pPr>
              <w:spacing w:after="0"/>
            </w:pPr>
            <w:r>
              <w:rPr>
                <w:b/>
                <w:color w:val="121826"/>
                <w:sz w:val="17"/>
              </w:rPr>
              <w:t>As of</w:t>
            </w:r>
          </w:p>
        </w:tc>
        <w:tc>
          <w:tcPr>
            <w:tcW w:type="dxa" w:w="2736"/>
            <w:shd w:val="clear" w:color="auto" w:fill="E4EAF3"/>
          </w:tcPr>
          <w:p>
            <w:pPr>
              <w:spacing w:after="0"/>
            </w:pPr>
            <w:r>
              <w:rPr>
                <w:b/>
                <w:color w:val="121826"/>
                <w:sz w:val="17"/>
              </w:rPr>
              <w:t>Source</w:t>
            </w:r>
          </w:p>
        </w:tc>
      </w:tr>
      <w:tr>
        <w:tc>
          <w:tcPr>
            <w:tcW w:type="dxa" w:w="2736"/>
          </w:tcPr>
          <w:p>
            <w:pPr>
              <w:spacing w:after="0"/>
            </w:pPr>
            <w:r>
              <w:rPr>
                <w:sz w:val="17"/>
              </w:rPr>
              <w:t>[RATE-1] 1-month CME Term SOFR</w:t>
            </w:r>
          </w:p>
        </w:tc>
        <w:tc>
          <w:tcPr>
            <w:tcW w:type="dxa" w:w="2499"/>
          </w:tcPr>
          <w:p>
            <w:pPr>
              <w:spacing w:after="0"/>
              <w:jc w:val="right"/>
            </w:pPr>
            <w:r>
              <w:rPr>
                <w:sz w:val="17"/>
              </w:rPr>
              <w:t>3.92490%</w:t>
            </w:r>
          </w:p>
        </w:tc>
        <w:tc>
          <w:tcPr>
            <w:tcW w:type="dxa" w:w="1389"/>
          </w:tcPr>
          <w:p>
            <w:pPr>
              <w:spacing w:after="0"/>
            </w:pPr>
            <w:r>
              <w:rPr>
                <w:sz w:val="17"/>
              </w:rPr>
              <w:t>Oct 9, 2026</w:t>
            </w:r>
          </w:p>
        </w:tc>
        <w:tc>
          <w:tcPr>
            <w:tcW w:type="dxa" w:w="2736"/>
          </w:tcPr>
          <w:p>
            <w:pPr>
              <w:spacing w:after="0"/>
            </w:pPr>
            <w:r>
              <w:rPr>
                <w:sz w:val="17"/>
              </w:rPr>
              <w:t>CME Term SOFR via global-rates.com</w:t>
            </w:r>
          </w:p>
        </w:tc>
      </w:tr>
      <w:tr>
        <w:tc>
          <w:tcPr>
            <w:tcW w:type="dxa" w:w="2736"/>
          </w:tcPr>
          <w:p>
            <w:pPr>
              <w:spacing w:after="0"/>
            </w:pPr>
            <w:r>
              <w:rPr>
                <w:sz w:val="17"/>
              </w:rPr>
              <w:t>[RATE-2] 3-month CME Term SOFR</w:t>
            </w:r>
          </w:p>
        </w:tc>
        <w:tc>
          <w:tcPr>
            <w:tcW w:type="dxa" w:w="2499"/>
          </w:tcPr>
          <w:p>
            <w:pPr>
              <w:spacing w:after="0"/>
              <w:jc w:val="right"/>
            </w:pPr>
            <w:r>
              <w:rPr>
                <w:sz w:val="17"/>
              </w:rPr>
              <w:t>4.03887%</w:t>
            </w:r>
          </w:p>
        </w:tc>
        <w:tc>
          <w:tcPr>
            <w:tcW w:type="dxa" w:w="1389"/>
          </w:tcPr>
          <w:p>
            <w:pPr>
              <w:spacing w:after="0"/>
            </w:pPr>
            <w:r>
              <w:rPr>
                <w:sz w:val="17"/>
              </w:rPr>
              <w:t>Oct 9, 2026</w:t>
            </w:r>
          </w:p>
        </w:tc>
        <w:tc>
          <w:tcPr>
            <w:tcW w:type="dxa" w:w="2736"/>
          </w:tcPr>
          <w:p>
            <w:pPr>
              <w:spacing w:after="0"/>
            </w:pPr>
            <w:r>
              <w:rPr>
                <w:sz w:val="17"/>
              </w:rPr>
              <w:t>CME Term SOFR via global-rates.com</w:t>
            </w:r>
          </w:p>
        </w:tc>
      </w:tr>
      <w:tr>
        <w:tc>
          <w:tcPr>
            <w:tcW w:type="dxa" w:w="2736"/>
          </w:tcPr>
          <w:p>
            <w:pPr>
              <w:spacing w:after="0"/>
            </w:pPr>
            <w:r>
              <w:rPr>
                <w:sz w:val="17"/>
              </w:rPr>
              <w:t>[RATE-3] Federal funds target range</w:t>
            </w:r>
          </w:p>
        </w:tc>
        <w:tc>
          <w:tcPr>
            <w:tcW w:type="dxa" w:w="2499"/>
          </w:tcPr>
          <w:p>
            <w:pPr>
              <w:spacing w:after="0"/>
            </w:pPr>
            <w:r>
              <w:rPr>
                <w:sz w:val="17"/>
              </w:rPr>
              <w:t>3.75%–4.00% (raised 25bp)</w:t>
            </w:r>
          </w:p>
        </w:tc>
        <w:tc>
          <w:tcPr>
            <w:tcW w:type="dxa" w:w="1389"/>
          </w:tcPr>
          <w:p>
            <w:pPr>
              <w:spacing w:after="0"/>
            </w:pPr>
            <w:r>
              <w:rPr>
                <w:sz w:val="17"/>
              </w:rPr>
              <w:t>Sep 16, 2026</w:t>
            </w:r>
          </w:p>
        </w:tc>
        <w:tc>
          <w:tcPr>
            <w:tcW w:type="dxa" w:w="2736"/>
          </w:tcPr>
          <w:p>
            <w:pPr>
              <w:spacing w:after="0"/>
            </w:pPr>
            <w:r>
              <w:rPr>
                <w:sz w:val="17"/>
              </w:rPr>
              <w:t>FOMC statement</w:t>
            </w:r>
          </w:p>
        </w:tc>
      </w:tr>
      <w:tr>
        <w:tc>
          <w:tcPr>
            <w:tcW w:type="dxa" w:w="2736"/>
          </w:tcPr>
          <w:p>
            <w:pPr>
              <w:spacing w:after="0"/>
            </w:pPr>
            <w:r>
              <w:rPr>
                <w:sz w:val="17"/>
              </w:rPr>
              <w:t>[SL-1] US subscription line average margin, H1 2026 (SOFR-linked new deals)</w:t>
            </w:r>
          </w:p>
        </w:tc>
        <w:tc>
          <w:tcPr>
            <w:tcW w:type="dxa" w:w="2499"/>
          </w:tcPr>
          <w:p>
            <w:pPr>
              <w:spacing w:after="0"/>
              <w:jc w:val="right"/>
            </w:pPr>
            <w:r>
              <w:rPr>
                <w:sz w:val="17"/>
              </w:rPr>
              <w:t>1.85%</w:t>
            </w:r>
          </w:p>
        </w:tc>
        <w:tc>
          <w:tcPr>
            <w:tcW w:type="dxa" w:w="1389"/>
          </w:tcPr>
          <w:p>
            <w:pPr>
              <w:spacing w:after="0"/>
            </w:pPr>
            <w:r>
              <w:rPr>
                <w:sz w:val="17"/>
              </w:rPr>
              <w:t>Aug 4, 2026</w:t>
            </w:r>
          </w:p>
        </w:tc>
        <w:tc>
          <w:tcPr>
            <w:tcW w:type="dxa" w:w="2736"/>
          </w:tcPr>
          <w:p>
            <w:pPr>
              <w:spacing w:after="0"/>
            </w:pPr>
            <w:r>
              <w:rPr>
                <w:sz w:val="17"/>
              </w:rPr>
              <w:t>Maples Group, Fund Finance Market Update 2026</w:t>
            </w:r>
          </w:p>
        </w:tc>
      </w:tr>
      <w:tr>
        <w:tc>
          <w:tcPr>
            <w:tcW w:type="dxa" w:w="2736"/>
          </w:tcPr>
          <w:p>
            <w:pPr>
              <w:spacing w:after="0"/>
            </w:pPr>
            <w:r>
              <w:rPr>
                <w:sz w:val="17"/>
              </w:rPr>
              <w:t>[SL-2] US subscription line average margin, Q4 2025</w:t>
            </w:r>
          </w:p>
        </w:tc>
        <w:tc>
          <w:tcPr>
            <w:tcW w:type="dxa" w:w="2499"/>
          </w:tcPr>
          <w:p>
            <w:pPr>
              <w:spacing w:after="0"/>
              <w:jc w:val="right"/>
            </w:pPr>
            <w:r>
              <w:rPr>
                <w:sz w:val="17"/>
              </w:rPr>
              <w:t>1.96%</w:t>
            </w:r>
          </w:p>
        </w:tc>
        <w:tc>
          <w:tcPr>
            <w:tcW w:type="dxa" w:w="1389"/>
          </w:tcPr>
          <w:p>
            <w:pPr>
              <w:spacing w:after="0"/>
            </w:pPr>
            <w:r>
              <w:rPr>
                <w:sz w:val="17"/>
              </w:rPr>
              <w:t>Aug 4, 2026</w:t>
            </w:r>
          </w:p>
        </w:tc>
        <w:tc>
          <w:tcPr>
            <w:tcW w:type="dxa" w:w="2736"/>
          </w:tcPr>
          <w:p>
            <w:pPr>
              <w:spacing w:after="0"/>
            </w:pPr>
            <w:r>
              <w:rPr>
                <w:sz w:val="17"/>
              </w:rPr>
              <w:t>Maples Group, Fund Finance Market Update 2026</w:t>
            </w:r>
          </w:p>
        </w:tc>
      </w:tr>
      <w:tr>
        <w:tc>
          <w:tcPr>
            <w:tcW w:type="dxa" w:w="2736"/>
          </w:tcPr>
          <w:p>
            <w:pPr>
              <w:spacing w:after="0"/>
            </w:pPr>
            <w:r>
              <w:rPr>
                <w:sz w:val="17"/>
              </w:rPr>
              <w:t>[SL-3] Most common margin band, 1–2 year sub lines, Q1 2026 (survey)</w:t>
            </w:r>
          </w:p>
        </w:tc>
        <w:tc>
          <w:tcPr>
            <w:tcW w:type="dxa" w:w="2499"/>
          </w:tcPr>
          <w:p>
            <w:pPr>
              <w:spacing w:after="0"/>
            </w:pPr>
            <w:r>
              <w:rPr>
                <w:sz w:val="17"/>
              </w:rPr>
              <w:t>166–180 bp</w:t>
            </w:r>
          </w:p>
        </w:tc>
        <w:tc>
          <w:tcPr>
            <w:tcW w:type="dxa" w:w="1389"/>
          </w:tcPr>
          <w:p>
            <w:pPr>
              <w:spacing w:after="0"/>
            </w:pPr>
            <w:r>
              <w:rPr>
                <w:sz w:val="17"/>
              </w:rPr>
              <w:t>Q1 2026</w:t>
            </w:r>
          </w:p>
        </w:tc>
        <w:tc>
          <w:tcPr>
            <w:tcW w:type="dxa" w:w="2736"/>
          </w:tcPr>
          <w:p>
            <w:pPr>
              <w:spacing w:after="0"/>
            </w:pPr>
            <w:r>
              <w:rPr>
                <w:sz w:val="17"/>
              </w:rPr>
              <w:t>Haynes Boone, Fund Finance Annual Report 2026</w:t>
            </w:r>
          </w:p>
        </w:tc>
      </w:tr>
      <w:tr>
        <w:tc>
          <w:tcPr>
            <w:tcW w:type="dxa" w:w="2736"/>
          </w:tcPr>
          <w:p>
            <w:pPr>
              <w:spacing w:after="0"/>
            </w:pPr>
            <w:r>
              <w:rPr>
                <w:sz w:val="17"/>
              </w:rPr>
              <w:t>[SL-4] Share of respondents seeing upfront fees ≤25 bp p.a., Q1 2026</w:t>
            </w:r>
          </w:p>
        </w:tc>
        <w:tc>
          <w:tcPr>
            <w:tcW w:type="dxa" w:w="2499"/>
          </w:tcPr>
          <w:p>
            <w:pPr>
              <w:spacing w:after="0"/>
              <w:jc w:val="right"/>
            </w:pPr>
            <w:r>
              <w:rPr>
                <w:sz w:val="17"/>
              </w:rPr>
              <w:t>85%</w:t>
            </w:r>
          </w:p>
        </w:tc>
        <w:tc>
          <w:tcPr>
            <w:tcW w:type="dxa" w:w="1389"/>
          </w:tcPr>
          <w:p>
            <w:pPr>
              <w:spacing w:after="0"/>
            </w:pPr>
            <w:r>
              <w:rPr>
                <w:sz w:val="17"/>
              </w:rPr>
              <w:t>Q1 2026</w:t>
            </w:r>
          </w:p>
        </w:tc>
        <w:tc>
          <w:tcPr>
            <w:tcW w:type="dxa" w:w="2736"/>
          </w:tcPr>
          <w:p>
            <w:pPr>
              <w:spacing w:after="0"/>
            </w:pPr>
            <w:r>
              <w:rPr>
                <w:sz w:val="17"/>
              </w:rPr>
              <w:t>Haynes Boone, Fund Finance Annual Report 2026</w:t>
            </w:r>
          </w:p>
        </w:tc>
      </w:tr>
      <w:tr>
        <w:tc>
          <w:tcPr>
            <w:tcW w:type="dxa" w:w="2736"/>
          </w:tcPr>
          <w:p>
            <w:pPr>
              <w:spacing w:after="0"/>
            </w:pPr>
            <w:r>
              <w:rPr>
                <w:sz w:val="17"/>
              </w:rPr>
              <w:t>[SL-5] Share of respondents seeing unused fees ≤25 bp, Q1 2026</w:t>
            </w:r>
          </w:p>
        </w:tc>
        <w:tc>
          <w:tcPr>
            <w:tcW w:type="dxa" w:w="2499"/>
          </w:tcPr>
          <w:p>
            <w:pPr>
              <w:spacing w:after="0"/>
              <w:jc w:val="right"/>
            </w:pPr>
            <w:r>
              <w:rPr>
                <w:sz w:val="17"/>
              </w:rPr>
              <w:t>76%</w:t>
            </w:r>
          </w:p>
        </w:tc>
        <w:tc>
          <w:tcPr>
            <w:tcW w:type="dxa" w:w="1389"/>
          </w:tcPr>
          <w:p>
            <w:pPr>
              <w:spacing w:after="0"/>
            </w:pPr>
            <w:r>
              <w:rPr>
                <w:sz w:val="17"/>
              </w:rPr>
              <w:t>Q1 2026</w:t>
            </w:r>
          </w:p>
        </w:tc>
        <w:tc>
          <w:tcPr>
            <w:tcW w:type="dxa" w:w="2736"/>
          </w:tcPr>
          <w:p>
            <w:pPr>
              <w:spacing w:after="0"/>
            </w:pPr>
            <w:r>
              <w:rPr>
                <w:sz w:val="17"/>
              </w:rPr>
              <w:t>Haynes Boone, Fund Finance Annual Report 2026</w:t>
            </w:r>
          </w:p>
        </w:tc>
      </w:tr>
      <w:tr>
        <w:tc>
          <w:tcPr>
            <w:tcW w:type="dxa" w:w="2736"/>
          </w:tcPr>
          <w:p>
            <w:pPr>
              <w:spacing w:after="0"/>
            </w:pPr>
            <w:r>
              <w:rPr>
                <w:sz w:val="17"/>
              </w:rPr>
              <w:t>[SL-6] Share of 2025 sub lines with an evergreen borrower (survey)</w:t>
            </w:r>
          </w:p>
        </w:tc>
        <w:tc>
          <w:tcPr>
            <w:tcW w:type="dxa" w:w="2499"/>
          </w:tcPr>
          <w:p>
            <w:pPr>
              <w:spacing w:after="0"/>
              <w:jc w:val="right"/>
            </w:pPr>
            <w:r>
              <w:rPr>
                <w:sz w:val="17"/>
              </w:rPr>
              <w:t>32%</w:t>
            </w:r>
          </w:p>
        </w:tc>
        <w:tc>
          <w:tcPr>
            <w:tcW w:type="dxa" w:w="1389"/>
          </w:tcPr>
          <w:p>
            <w:pPr>
              <w:spacing w:after="0"/>
              <w:jc w:val="right"/>
            </w:pPr>
            <w:r>
              <w:rPr>
                <w:sz w:val="17"/>
              </w:rPr>
              <w:t>2025</w:t>
            </w:r>
          </w:p>
        </w:tc>
        <w:tc>
          <w:tcPr>
            <w:tcW w:type="dxa" w:w="2736"/>
          </w:tcPr>
          <w:p>
            <w:pPr>
              <w:spacing w:after="0"/>
            </w:pPr>
            <w:r>
              <w:rPr>
                <w:sz w:val="17"/>
              </w:rPr>
              <w:t>Haynes Boone, Fund Finance Annual Report 2026</w:t>
            </w:r>
          </w:p>
        </w:tc>
      </w:tr>
      <w:tr>
        <w:tc>
          <w:tcPr>
            <w:tcW w:type="dxa" w:w="2736"/>
          </w:tcPr>
          <w:p>
            <w:pPr>
              <w:spacing w:after="0"/>
            </w:pPr>
            <w:r>
              <w:rPr>
                <w:sz w:val="17"/>
              </w:rPr>
              <w:t>[SL-7] Share of 2025 sub lines with an all-HNW borrowing base (survey)</w:t>
            </w:r>
          </w:p>
        </w:tc>
        <w:tc>
          <w:tcPr>
            <w:tcW w:type="dxa" w:w="2499"/>
          </w:tcPr>
          <w:p>
            <w:pPr>
              <w:spacing w:after="0"/>
              <w:jc w:val="right"/>
            </w:pPr>
            <w:r>
              <w:rPr>
                <w:sz w:val="17"/>
              </w:rPr>
              <w:t>28%</w:t>
            </w:r>
          </w:p>
        </w:tc>
        <w:tc>
          <w:tcPr>
            <w:tcW w:type="dxa" w:w="1389"/>
          </w:tcPr>
          <w:p>
            <w:pPr>
              <w:spacing w:after="0"/>
              <w:jc w:val="right"/>
            </w:pPr>
            <w:r>
              <w:rPr>
                <w:sz w:val="17"/>
              </w:rPr>
              <w:t>2025</w:t>
            </w:r>
          </w:p>
        </w:tc>
        <w:tc>
          <w:tcPr>
            <w:tcW w:type="dxa" w:w="2736"/>
          </w:tcPr>
          <w:p>
            <w:pPr>
              <w:spacing w:after="0"/>
            </w:pPr>
            <w:r>
              <w:rPr>
                <w:sz w:val="17"/>
              </w:rPr>
              <w:t>Haynes Boone, Fund Finance Annual Report 2026</w:t>
            </w:r>
          </w:p>
        </w:tc>
      </w:tr>
      <w:tr>
        <w:tc>
          <w:tcPr>
            <w:tcW w:type="dxa" w:w="2736"/>
          </w:tcPr>
          <w:p>
            <w:pPr>
              <w:spacing w:after="0"/>
            </w:pPr>
            <w:r>
              <w:rPr>
                <w:sz w:val="17"/>
              </w:rPr>
              <w:t>[BDC-1] BDC minimum asset coverage (elected under 1940 Act §61(a)(2))</w:t>
            </w:r>
          </w:p>
        </w:tc>
        <w:tc>
          <w:tcPr>
            <w:tcW w:type="dxa" w:w="2499"/>
          </w:tcPr>
          <w:p>
            <w:pPr>
              <w:spacing w:after="0"/>
              <w:jc w:val="right"/>
            </w:pPr>
            <w:r>
              <w:rPr>
                <w:sz w:val="17"/>
              </w:rPr>
              <w:t>150%</w:t>
            </w:r>
          </w:p>
        </w:tc>
        <w:tc>
          <w:tcPr>
            <w:tcW w:type="dxa" w:w="1389"/>
          </w:tcPr>
          <w:p>
            <w:pPr>
              <w:spacing w:after="0"/>
            </w:pPr>
            <w:r>
              <w:rPr>
                <w:sz w:val="17"/>
              </w:rPr>
              <w:t>Dec 31, 2025</w:t>
            </w:r>
          </w:p>
        </w:tc>
        <w:tc>
          <w:tcPr>
            <w:tcW w:type="dxa" w:w="2736"/>
          </w:tcPr>
          <w:p>
            <w:pPr>
              <w:spacing w:after="0"/>
            </w:pPr>
            <w:r>
              <w:rPr>
                <w:sz w:val="17"/>
              </w:rPr>
              <w:t>TCW Steel City 10-K FY2025, Item 1</w:t>
            </w:r>
          </w:p>
        </w:tc>
      </w:tr>
    </w:tbl>
    <w:p>
      <w:pPr>
        <w:spacing w:after="40"/>
      </w:pPr>
    </w:p>
    <w:p>
      <w:r>
        <w:rPr>
          <w:i/>
          <w:color w:val="5B6475"/>
          <w:sz w:val="16"/>
        </w:rPr>
        <w:t>Sources: CME Term SOFR via global-rates.com (https://www.global-rates.com/en/interest-rates/cme-term-sofr/); FOMC statement (https://www.federalreserve.gov/newsevents/pressreleases/monetary20260916a.htm); Maples Group (https://maples.com/knowledge/cayman-islands-fund-finance-market-update-2026); Haynes Boone Fund Finance Annual Report 2026 (survey); TCW Steel City 10-K FY2025.</w:t>
      </w:r>
    </w:p>
    <w:p>
      <w:pPr>
        <w:pStyle w:val="Heading2"/>
      </w:pPr>
      <w:r>
        <w:t>8. Diligence findings</w:t>
      </w:r>
    </w:p>
    <w:p>
      <w:pPr>
        <w:pStyle w:val="ListBullet"/>
        <w:spacing w:after="40"/>
      </w:pPr>
      <w:r>
        <w:rPr>
          <w:b/>
        </w:rPr>
        <w:t>Investor base (public filings).</w:t>
      </w:r>
      <w:r>
        <w:t xml:space="preserve"> Schedules 13G show a TCW-managed private credit fund holding 45.3% of the shares (Jan 22, 2026) and two affiliated insurers holding 20.4% and 6.8% (Nov 5, 2025). The 10-K reports about 5 holders of record (Mar 26, 2026); the Form D/A (Jun 25, 2026) reports 8 investors. The fictional roster follows that shape.</w:t>
      </w:r>
    </w:p>
    <w:p>
      <w:pPr>
        <w:pStyle w:val="ListBullet"/>
        <w:spacing w:after="40"/>
      </w:pPr>
      <w:r>
        <w:rPr>
          <w:b/>
        </w:rPr>
        <w:t>Feeder look-through (HYPOTHETICAL).</w:t>
      </w:r>
      <w:r>
        <w:t xml:space="preserve"> Smithfield Street can call its own wealth-management clients, but TCW has not provided data on them (number, size, concentration, default history).</w:t>
      </w:r>
    </w:p>
    <w:p>
      <w:pPr>
        <w:pStyle w:val="ListBullet"/>
        <w:spacing w:after="40"/>
      </w:pPr>
      <w:r>
        <w:rPr>
          <w:b/>
        </w:rPr>
        <w:t>Investor updates (HYPOTHETICAL).</w:t>
      </w:r>
      <w:r>
        <w:t xml:space="preserve"> Brightwater's 2025 Schedule SB shows a 73.5% Funding Ratio, down from the prior year; its Sponsor was cut to BBB / Baa2 in May 2026. A.M. Best affirmed Keelboat at A+ in June 2026. Harmony Health joined in March 2026 and has funded 25.0%.</w:t>
      </w:r>
    </w:p>
    <w:p>
      <w:pPr>
        <w:pStyle w:val="ListBullet"/>
        <w:spacing w:after="40"/>
      </w:pPr>
      <w:r>
        <w:rPr>
          <w:b/>
        </w:rPr>
        <w:t>Reporting (HYPOTHETICAL).</w:t>
      </w:r>
      <w:r>
        <w:t xml:space="preserve"> The Sep 30, 2026 borrowing base certificate is overdue.</w:t>
      </w:r>
    </w:p>
    <w:p>
      <w:pPr>
        <w:pStyle w:val="ListBullet"/>
        <w:spacing w:after="40"/>
      </w:pPr>
      <w:r>
        <w:rPr>
          <w:b/>
        </w:rPr>
        <w:t>Quarter-end Treasury purchases (real).</w:t>
      </w:r>
      <w:r>
        <w:t xml:space="preserve"> The fund buys Treasury bills at quarter-end against an equal payable ($345.7M at Jun 30); a Barclays repo entered Jul 1 settled Jul 24 with $345.6M of principal. These gross up assets and liabilities but are not credit facilities payable.</w:t>
      </w:r>
    </w:p>
    <w:p>
      <w:pPr>
        <w:pStyle w:val="ListBullet"/>
        <w:spacing w:after="40"/>
      </w:pPr>
      <w:r>
        <w:rPr>
          <w:b/>
        </w:rPr>
        <w:t>Legal (real).</w:t>
      </w:r>
      <w:r>
        <w:t xml:space="preserve"> One extension only, with all-Lender consent. The investor-default Event of Default counts only non-affiliated Borrowing Base Investors. The line opened at $90.0M (Apr 21, 2025), rose to $200.0M (Aug 28, 2025), and ran at a temporary $250.0M from Dec 16, 2025 to Jan 30, 2026.</w:t>
      </w:r>
    </w:p>
    <w:p>
      <w:pPr>
        <w:pStyle w:val="Heading2"/>
      </w:pPr>
      <w:r>
        <w:t>9. Questions</w:t>
      </w:r>
    </w:p>
    <w:p>
      <w:pPr>
        <w:pStyle w:val="ListNumber"/>
        <w:spacing w:after="60"/>
      </w:pPr>
      <w:r>
        <w:t>Borrowing base at Jun 30, 2026: rebuild it from Exhibits 3A and 3B, applying the concentration limits to each investor's unfunded commitment excluding the pending July 1 call, before advance rates. Reconcile your figure to the subscription line's drawn plus available amount in Exhibit 2A, and state the effective advance rate on (a) reported undrawn commitments and (b) unfunded commitments excluding the pending call.</w:t>
      </w:r>
    </w:p>
    <w:p>
      <w:pPr>
        <w:pStyle w:val="ListNumber"/>
        <w:spacing w:after="60"/>
      </w:pPr>
      <w:r>
        <w:t>Request case: recompute the Jun 30 borrowing base with Smithfield Street as a Non-Rated Included Investor. How much of a $250.0M Maximum Commitment could the fund actually borrow? What drawn exposure, annual interest and fee income would Calloway's $50.0M (20%) share carry at the Jun 30 drawn balance, at 1-month Term SOFR of 3.92490% (CME, Oct 9, 2026) and with Term SOFR 100 bp higher? Show the fund's interest coverage on the same two bases: (total investment income − expenses other than interest and credit facility expenses) ÷ interest and credit facility expenses, for LTM Jun-26 and Q2-26 annualized.</w:t>
      </w:r>
    </w:p>
    <w:p>
      <w:pPr>
        <w:pStyle w:val="ListNumber"/>
        <w:spacing w:after="60"/>
      </w:pPr>
      <w:r>
        <w:t>Downside, investor stresses: for each case below, give the borrowing base (as filed classifications), any mandatory prepayment against the Jun 30 drawn balance of $105.2M, and whether an Event of Default follows. (a) The Keelboat group fails to fund a capital call. (b) Brightwater's Funding Ratio falls below the 70% minimum. (c) The fund repeats its largest capital call to date ($120.0M, January 2026) pro rata, with no new commitments. (d) Smithfield Street, the largest investor, fails to fund a capital call.</w:t>
      </w:r>
    </w:p>
    <w:p>
      <w:pPr>
        <w:pStyle w:val="ListNumber"/>
        <w:spacing w:after="60"/>
      </w:pPr>
      <w:r>
        <w:t>Run-off: using the Advisor's projections (Exhibit 4B), project the borrowing base each quarter to Q1-28E with and without the targeted (unsigned) commitments, and compare it with projected peak usage. Then test the fund's 1940 Act asset coverage (minimum 150%) with both facilities drawn to their usable limits. What does this mean for a maturity in April 2029 and for the role of the asset-based facility?</w:t>
      </w:r>
    </w:p>
    <w:p>
      <w:pPr>
        <w:pStyle w:val="ListNumber"/>
        <w:spacing w:after="60"/>
      </w:pPr>
      <w:r>
        <w:t>Pricing and terms: is Term SOFR + 2.10% with a 0.30% / 0.50% unused fee right for this borrower, given the market data in Exhibit 4C? For each of TCW's five requested changes, say whether you would accept it, reject it, or accept it with changes, and why.</w:t>
      </w:r>
    </w:p>
    <w:p>
      <w:pPr>
        <w:pStyle w:val="ListNumber"/>
        <w:spacing w:after="60"/>
      </w:pPr>
      <w:r>
        <w:t>Recommendation: should Calloway join the renewal, and with what commitment? State the conditions you would require for approval, covering sizing, investor eligibility, reporting and extension terms.</w:t>
      </w:r>
    </w:p>
    <w:p>
      <w:pPr>
        <w:spacing w:after="80"/>
      </w:pPr>
      <w:r>
        <w:rPr>
          <w:i/>
        </w:rPr>
        <w:t>IC Simulator · TCW Steel City Senior Lending BDC · Foundational · Practice use only. Built from SEC filings (Form 10-K FY2025; Forms 10-Q Q1-2026 and Q2-2026; Exhibit 10.4; Form D/A; Schedules 13G) with labelled HYPOTHETICAL elements. Uncalibrated.</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475"/>
        <w:sz w:val="16"/>
      </w:rPr>
      <w:t xml:space="preserve">IC Simulator · TCW Steel City Senior Lending BDC · Foundational · Practice use only · Page </w:t>
    </w:r>
    <w:r>
      <w:rPr>
        <w:color w:val="5B6475"/>
        <w:sz w:val="16"/>
      </w:rPr>
      <w:fldChar w:fldCharType="begin"/>
      <w:instrText xml:space="preserve">PAGE</w:instrText>
      <w:fldChar w:fldCharType="end"/>
    </w:r>
    <w:r>
      <w:rPr>
        <w:color w:val="5B6475"/>
        <w:sz w:val="16"/>
      </w:rPr>
      <w:t xml:space="preserve"> of </w:t>
    </w:r>
    <w:r>
      <w:rPr>
        <w:color w:val="5B6475"/>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475"/>
        <w:sz w:val="16"/>
      </w:rPr>
      <w:t>IC Simulator · TCW Steel City Senior Lending BDC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A314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2182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2182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2182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