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Texas Roadhouse: initiation of coverage</w:t>
      </w:r>
    </w:p>
    <w:p>
      <w:r>
        <w:rPr>
          <w:rFonts w:ascii="Georgia" w:hAnsi="Georgia"/>
          <w:color w:val="5B6475"/>
          <w:sz w:val="26"/>
        </w:rPr>
        <w:t>Investment banking case · writing assignment and modeling assignment</w:t>
      </w:r>
    </w:p>
    <w:tbl>
      <w:tblPr>
        <w:tblW w:type="auto" w:w="0"/>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2592"/>
        <w:gridCol w:w="6768"/>
      </w:tblGrid>
      <w:tr>
        <w:tc>
          <w:tcPr>
            <w:tcW w:type="dxa" w:w="2592"/>
            <w:shd w:val="clear" w:color="auto" w:fill="E4EAF3"/>
          </w:tcPr>
          <w:p>
            <w:r/>
            <w:r>
              <w:rPr>
                <w:b/>
                <w:sz w:val="19"/>
              </w:rPr>
              <w:t>Company</w:t>
            </w:r>
          </w:p>
        </w:tc>
        <w:tc>
          <w:tcPr>
            <w:tcW w:type="dxa" w:w="6768"/>
          </w:tcPr>
          <w:p>
            <w:r/>
            <w:r>
              <w:rPr>
                <w:sz w:val="19"/>
              </w:rPr>
              <w:t>Texas Roadhouse, Inc. (NasdaqGS: TXRH) · Louisville, Kentucky · fiscal year ends last Tuesday of December</w:t>
            </w:r>
          </w:p>
        </w:tc>
      </w:tr>
      <w:tr>
        <w:tc>
          <w:tcPr>
            <w:tcW w:type="dxa" w:w="2592"/>
            <w:shd w:val="clear" w:color="auto" w:fill="E4EAF3"/>
          </w:tcPr>
          <w:p>
            <w:r/>
            <w:r>
              <w:rPr>
                <w:b/>
                <w:sz w:val="19"/>
              </w:rPr>
              <w:t>Case date</w:t>
            </w:r>
          </w:p>
        </w:tc>
        <w:tc>
          <w:tcPr>
            <w:tcW w:type="dxa" w:w="6768"/>
          </w:tcPr>
          <w:p>
            <w:r/>
            <w:r>
              <w:rPr>
                <w:sz w:val="19"/>
              </w:rPr>
              <w:t>Friday 9 October 2026 (market data as of the close). Latest filing: 10-Q for the 26 weeks to 30 June 2026.</w:t>
            </w:r>
          </w:p>
        </w:tc>
      </w:tr>
      <w:tr>
        <w:tc>
          <w:tcPr>
            <w:tcW w:type="dxa" w:w="2592"/>
            <w:shd w:val="clear" w:color="auto" w:fill="E4EAF3"/>
          </w:tcPr>
          <w:p>
            <w:r/>
            <w:r>
              <w:rPr>
                <w:b/>
                <w:sz w:val="19"/>
              </w:rPr>
              <w:t>Level</w:t>
            </w:r>
          </w:p>
        </w:tc>
        <w:tc>
          <w:tcPr>
            <w:tcW w:type="dxa" w:w="6768"/>
          </w:tcPr>
          <w:p>
            <w:r/>
            <w:r>
              <w:rPr>
                <w:sz w:val="19"/>
              </w:rPr>
              <w:t>Advanced (take-home, 1–2 days) · uncalibrated</w:t>
            </w:r>
          </w:p>
        </w:tc>
      </w:tr>
      <w:tr>
        <w:tc>
          <w:tcPr>
            <w:tcW w:type="dxa" w:w="2592"/>
            <w:shd w:val="clear" w:color="auto" w:fill="E4EAF3"/>
          </w:tcPr>
          <w:p>
            <w:r/>
            <w:r>
              <w:rPr>
                <w:b/>
                <w:sz w:val="19"/>
              </w:rPr>
              <w:t>Materials</w:t>
            </w:r>
          </w:p>
        </w:tc>
        <w:tc>
          <w:tcPr>
            <w:tcW w:type="dxa" w:w="6768"/>
          </w:tcPr>
          <w:p>
            <w:r/>
            <w:r>
              <w:rPr>
                <w:sz w:val="19"/>
              </w:rPr>
              <w:t>TXRH-student-model-template.xlsx; this brief; the study guide; public SEC filings (links in the template Cover and the study guide)</w:t>
            </w:r>
          </w:p>
        </w:tc>
      </w:tr>
    </w:tbl>
    <w:p>
      <w:pPr>
        <w:spacing w:after="40"/>
      </w:pPr>
    </w:p>
    <w:p>
      <w:pPr>
        <w:pStyle w:val="Heading1"/>
      </w:pPr>
      <w:r>
        <w:t>1. Your role and the situation</w:t>
      </w:r>
    </w:p>
    <w:p>
      <w:r>
        <w:rPr>
          <w:i w:val="0"/>
        </w:rPr>
        <w:t>You are an Associate in the Consumer &amp; Restaurants group of an investment bank. The group is initiating formal coverage of Texas Roadhouse ahead of a meeting with the company's senior management, and the Managing Director wants a view he can defend in front of both the company and the bank's institutional clients: at $161.50, is TXRH stock cheap, fair or expensive, and why?</w:t>
      </w:r>
    </w:p>
    <w:p>
      <w:r>
        <w:rPr>
          <w:i w:val="0"/>
        </w:rPr>
        <w:t>The timing is not accidental. TXRH closed at a 52-week high of $216.30 in August 2026 and fell to $153.83 within weeks before settling at $161.50 on 9 October. Three things happened at once:</w:t>
      </w:r>
    </w:p>
    <w:p>
      <w:pPr>
        <w:pStyle w:val="ListBullet"/>
      </w:pPr>
      <w:r>
        <w:rPr>
          <w:b/>
        </w:rPr>
        <w:t xml:space="preserve">Sector pressure. </w:t>
      </w:r>
      <w:r>
        <w:t>Casual-dining stocks sold off on 15 September 2026 after Placer.ai reported US dining foot traffic down 2.4% year on year in August, with petrol above $4 a gallon and menu-price inflation outpacing grocery inflation.</w:t>
      </w:r>
    </w:p>
    <w:p>
      <w:pPr>
        <w:pStyle w:val="ListBullet"/>
      </w:pPr>
      <w:r>
        <w:rPr>
          <w:b/>
        </w:rPr>
        <w:t xml:space="preserve">A company-specific shock. </w:t>
      </w:r>
      <w:r>
        <w:t>A false social-media post alleging discrimination at the chain circulated for several weeks. The company called it a "baseless rumor"; the stock's decline over six consecutive weeks exceeded 20%. At least two brokers upgraded the shares in the week of 5 October, arguing the sales impact would be short-lived.</w:t>
      </w:r>
    </w:p>
    <w:p>
      <w:pPr>
        <w:pStyle w:val="ListBullet"/>
      </w:pPr>
      <w:r>
        <w:rPr>
          <w:b/>
        </w:rPr>
        <w:t xml:space="preserve">Margins and rates. </w:t>
      </w:r>
      <w:r>
        <w:t>Restaurant margin fell 66 bp year on year in 2Q26 to 16.4% on 7.0% commodity (beef-led) inflation, and diluted EPS fell 0.7%. Meanwhile the Federal Reserve raised its target range to 3.75–4.00% on 16 September 2026 and the 10-year Treasury yield closed at 5.24% on 9 October.</w:t>
      </w:r>
    </w:p>
    <w:p>
      <w:r>
        <w:rPr>
          <w:i w:val="0"/>
        </w:rPr>
        <w:t>Underneath the noise, the operating record is strong: comparable restaurant sales rose 6.7% in 1H26 (6.2% in the first five weeks of 3Q26), average weekly sales hit a record $177,252 in 2Q26, and the company has grown company-owned restaurants from 566 to 732 since the end of FY21. The question is how much of that is already in the price.</w:t>
      </w:r>
    </w:p>
    <w:p>
      <w:pPr>
        <w:pStyle w:val="Heading1"/>
      </w:pPr>
      <w:r>
        <w:t>2. Company background</w:t>
      </w:r>
    </w:p>
    <w:p>
      <w:r>
        <w:rPr>
          <w:i w:val="0"/>
        </w:rPr>
        <w:t>Texas Roadhouse operates three concepts: Texas Roadhouse (a moderately priced, full-service steakhouse with hand-cut steaks and made-from-scratch sides), Bubba's 33 (a sports-bar concept) and Jaggers (fast casual). At 30 December 2025 the company owned and operated 714 restaurants (648 Texas Roadhouse, 56 Bubba's 33, 10 Jaggers) and franchised a further 102, 61 of them outside the US, across 49 states, one US territory and ten foreign countries. It employed about 101,000 people.</w:t>
      </w:r>
    </w:p>
    <w:tbl>
      <w:tblPr>
        <w:tblW w:type="auto" w:w="0"/>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2592"/>
        <w:gridCol w:w="6768"/>
      </w:tblGrid>
      <w:tr>
        <w:tc>
          <w:tcPr>
            <w:tcW w:type="dxa" w:w="2592"/>
            <w:shd w:val="clear" w:color="auto" w:fill="E4EAF3"/>
          </w:tcPr>
          <w:p>
            <w:r/>
            <w:r>
              <w:rPr>
                <w:b/>
                <w:sz w:val="19"/>
              </w:rPr>
              <w:t>Business model</w:t>
            </w:r>
          </w:p>
        </w:tc>
        <w:tc>
          <w:tcPr>
            <w:tcW w:type="dxa" w:w="6768"/>
          </w:tcPr>
          <w:p>
            <w:r/>
            <w:r>
              <w:rPr>
                <w:sz w:val="19"/>
              </w:rPr>
              <w:t>Overwhelmingly company-operated: restaurant and other sales were $5,847M of FY25 revenue of $5,878M; royalties and franchise fees were $31M. Since 2022 the company has bought back domestic franchise restaurants (20 in FY25, 5 in 1H26), turning royalty income into restaurant sales and restaurant-level costs.</w:t>
            </w:r>
          </w:p>
        </w:tc>
      </w:tr>
      <w:tr>
        <w:tc>
          <w:tcPr>
            <w:tcW w:type="dxa" w:w="2592"/>
            <w:shd w:val="clear" w:color="auto" w:fill="E4EAF3"/>
          </w:tcPr>
          <w:p>
            <w:r/>
            <w:r>
              <w:rPr>
                <w:b/>
                <w:sz w:val="19"/>
              </w:rPr>
              <w:t>Operating model</w:t>
            </w:r>
          </w:p>
        </w:tc>
        <w:tc>
          <w:tcPr>
            <w:tcW w:type="dxa" w:w="6768"/>
          </w:tcPr>
          <w:p>
            <w:r/>
            <w:r>
              <w:rPr>
                <w:sz w:val="19"/>
              </w:rPr>
              <w:t>Dinner-focused (weekday dinner only at nearly all Texas Roadhouse units). Managing partners and market partners earn a share of their restaurants' pre-tax income and post a refundable deposit, an owner-operator structure the company credits for consistent traffic.</w:t>
            </w:r>
          </w:p>
        </w:tc>
      </w:tr>
      <w:tr>
        <w:tc>
          <w:tcPr>
            <w:tcW w:type="dxa" w:w="2592"/>
            <w:shd w:val="clear" w:color="auto" w:fill="E4EAF3"/>
          </w:tcPr>
          <w:p>
            <w:r/>
            <w:r>
              <w:rPr>
                <w:b/>
                <w:sz w:val="19"/>
              </w:rPr>
              <w:t>Real estate</w:t>
            </w:r>
          </w:p>
        </w:tc>
        <w:tc>
          <w:tcPr>
            <w:tcW w:type="dxa" w:w="6768"/>
          </w:tcPr>
          <w:p>
            <w:r/>
            <w:r>
              <w:rPr>
                <w:sz w:val="19"/>
              </w:rPr>
              <w:t>158 restaurants on owned sites, 556 on leased sites (487 ground leases, 69 land-and-building or in-line). Operating-lease liabilities of $974M at FY25 with a 17.5-year weighted remaining term (ASC 842).</w:t>
            </w:r>
          </w:p>
        </w:tc>
      </w:tr>
      <w:tr>
        <w:tc>
          <w:tcPr>
            <w:tcW w:type="dxa" w:w="2592"/>
            <w:shd w:val="clear" w:color="auto" w:fill="E4EAF3"/>
          </w:tcPr>
          <w:p>
            <w:r/>
            <w:r>
              <w:rPr>
                <w:b/>
                <w:sz w:val="19"/>
              </w:rPr>
              <w:t>Balance sheet</w:t>
            </w:r>
          </w:p>
        </w:tc>
        <w:tc>
          <w:tcPr>
            <w:tcW w:type="dxa" w:w="6768"/>
          </w:tcPr>
          <w:p>
            <w:r/>
            <w:r>
              <w:rPr>
                <w:sz w:val="19"/>
              </w:rPr>
              <w:t>Essentially unlevered: $202M cash and $50M drawn on a $450M revolver at 30 June 2026. Capital returns: quarterly dividend raised to $0.75 (2026) and $150M of buybacks in FY25.</w:t>
            </w:r>
          </w:p>
        </w:tc>
      </w:tr>
      <w:tr>
        <w:tc>
          <w:tcPr>
            <w:tcW w:type="dxa" w:w="2592"/>
            <w:shd w:val="clear" w:color="auto" w:fill="E4EAF3"/>
          </w:tcPr>
          <w:p>
            <w:r/>
            <w:r>
              <w:rPr>
                <w:b/>
                <w:sz w:val="19"/>
              </w:rPr>
              <w:t>2026 outlook (6 Aug 2026)</w:t>
            </w:r>
          </w:p>
        </w:tc>
        <w:tc>
          <w:tcPr>
            <w:tcW w:type="dxa" w:w="6768"/>
          </w:tcPr>
          <w:p>
            <w:r/>
            <w:r>
              <w:rPr>
                <w:sz w:val="19"/>
              </w:rPr>
              <w:t>Positive comparable sales including menu pricing; store-week growth 5–6% including franchise acquisitions; commodity inflation ~5%; wage and other labor inflation 3–4%; effective tax rate ~14%; total capex ~$400M.</w:t>
            </w:r>
          </w:p>
        </w:tc>
      </w:tr>
    </w:tbl>
    <w:p>
      <w:pPr>
        <w:spacing w:after="40"/>
      </w:pPr>
    </w:p>
    <w:p>
      <w:r>
        <w:rPr>
          <w:b/>
        </w:rPr>
        <w:t xml:space="preserve">Exhibit 1. </w:t>
      </w:r>
      <w:r>
        <w:rPr>
          <w:i w:val="0"/>
        </w:rPr>
        <w:t>Five-year history (fiscal years; FY24 was a 53-week year):</w:t>
      </w:r>
    </w:p>
    <w:tbl>
      <w:tblPr>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3456"/>
        <w:gridCol w:w="1224"/>
        <w:gridCol w:w="1224"/>
        <w:gridCol w:w="1368"/>
        <w:gridCol w:w="1224"/>
        <w:gridCol w:w="1224"/>
      </w:tblGrid>
      <w:tr>
        <w:tc>
          <w:tcPr>
            <w:tcW w:type="dxa" w:w="3456"/>
            <w:shd w:val="clear" w:color="auto" w:fill="1E3A5F"/>
          </w:tcPr>
          <w:p>
            <w:r/>
            <w:r>
              <w:rPr>
                <w:b/>
                <w:color w:val="FFFFFF"/>
                <w:sz w:val="18"/>
              </w:rPr>
            </w:r>
          </w:p>
        </w:tc>
        <w:tc>
          <w:tcPr>
            <w:tcW w:type="dxa" w:w="1224"/>
            <w:shd w:val="clear" w:color="auto" w:fill="1E3A5F"/>
          </w:tcPr>
          <w:p>
            <w:r/>
            <w:r>
              <w:rPr>
                <w:b/>
                <w:color w:val="FFFFFF"/>
                <w:sz w:val="18"/>
              </w:rPr>
              <w:t>FY22A</w:t>
            </w:r>
          </w:p>
        </w:tc>
        <w:tc>
          <w:tcPr>
            <w:tcW w:type="dxa" w:w="1224"/>
            <w:shd w:val="clear" w:color="auto" w:fill="1E3A5F"/>
          </w:tcPr>
          <w:p>
            <w:r/>
            <w:r>
              <w:rPr>
                <w:b/>
                <w:color w:val="FFFFFF"/>
                <w:sz w:val="18"/>
              </w:rPr>
              <w:t>FY23A</w:t>
            </w:r>
          </w:p>
        </w:tc>
        <w:tc>
          <w:tcPr>
            <w:tcW w:type="dxa" w:w="1368"/>
            <w:shd w:val="clear" w:color="auto" w:fill="1E3A5F"/>
          </w:tcPr>
          <w:p>
            <w:r/>
            <w:r>
              <w:rPr>
                <w:b/>
                <w:color w:val="FFFFFF"/>
                <w:sz w:val="18"/>
              </w:rPr>
              <w:t>FY24A (53 wk)</w:t>
            </w:r>
          </w:p>
        </w:tc>
        <w:tc>
          <w:tcPr>
            <w:tcW w:type="dxa" w:w="1224"/>
            <w:shd w:val="clear" w:color="auto" w:fill="1E3A5F"/>
          </w:tcPr>
          <w:p>
            <w:r/>
            <w:r>
              <w:rPr>
                <w:b/>
                <w:color w:val="FFFFFF"/>
                <w:sz w:val="18"/>
              </w:rPr>
              <w:t>FY25A</w:t>
            </w:r>
          </w:p>
        </w:tc>
        <w:tc>
          <w:tcPr>
            <w:tcW w:type="dxa" w:w="1224"/>
            <w:shd w:val="clear" w:color="auto" w:fill="1E3A5F"/>
          </w:tcPr>
          <w:p>
            <w:r/>
            <w:r>
              <w:rPr>
                <w:b/>
                <w:color w:val="FFFFFF"/>
                <w:sz w:val="18"/>
              </w:rPr>
              <w:t>6M26A</w:t>
            </w:r>
          </w:p>
        </w:tc>
      </w:tr>
      <w:tr>
        <w:tc>
          <w:tcPr>
            <w:tcW w:type="dxa" w:w="3456"/>
          </w:tcPr>
          <w:p>
            <w:r/>
            <w:r>
              <w:rPr>
                <w:sz w:val="18"/>
              </w:rPr>
              <w:t>Total revenue ($M)</w:t>
            </w:r>
          </w:p>
        </w:tc>
        <w:tc>
          <w:tcPr>
            <w:tcW w:type="dxa" w:w="1224"/>
          </w:tcPr>
          <w:p>
            <w:pPr>
              <w:jc w:val="right"/>
            </w:pPr>
            <w:r/>
            <w:r>
              <w:rPr>
                <w:sz w:val="18"/>
              </w:rPr>
              <w:t>4,014.9</w:t>
            </w:r>
          </w:p>
        </w:tc>
        <w:tc>
          <w:tcPr>
            <w:tcW w:type="dxa" w:w="1224"/>
          </w:tcPr>
          <w:p>
            <w:pPr>
              <w:jc w:val="right"/>
            </w:pPr>
            <w:r/>
            <w:r>
              <w:rPr>
                <w:sz w:val="18"/>
              </w:rPr>
              <w:t>4,631.7</w:t>
            </w:r>
          </w:p>
        </w:tc>
        <w:tc>
          <w:tcPr>
            <w:tcW w:type="dxa" w:w="1368"/>
          </w:tcPr>
          <w:p>
            <w:pPr>
              <w:jc w:val="right"/>
            </w:pPr>
            <w:r/>
            <w:r>
              <w:rPr>
                <w:sz w:val="18"/>
              </w:rPr>
              <w:t>5,373.3</w:t>
            </w:r>
          </w:p>
        </w:tc>
        <w:tc>
          <w:tcPr>
            <w:tcW w:type="dxa" w:w="1224"/>
          </w:tcPr>
          <w:p>
            <w:pPr>
              <w:jc w:val="right"/>
            </w:pPr>
            <w:r/>
            <w:r>
              <w:rPr>
                <w:sz w:val="18"/>
              </w:rPr>
              <w:t>5,878.1</w:t>
            </w:r>
          </w:p>
        </w:tc>
        <w:tc>
          <w:tcPr>
            <w:tcW w:type="dxa" w:w="1224"/>
          </w:tcPr>
          <w:p>
            <w:pPr>
              <w:jc w:val="right"/>
            </w:pPr>
            <w:r/>
            <w:r>
              <w:rPr>
                <w:sz w:val="18"/>
              </w:rPr>
              <w:t>3,313.1</w:t>
            </w:r>
          </w:p>
        </w:tc>
      </w:tr>
      <w:tr>
        <w:tc>
          <w:tcPr>
            <w:tcW w:type="dxa" w:w="3456"/>
          </w:tcPr>
          <w:p>
            <w:r/>
            <w:r>
              <w:rPr>
                <w:sz w:val="18"/>
              </w:rPr>
              <w:t xml:space="preserve">  growth</w:t>
            </w:r>
          </w:p>
        </w:tc>
        <w:tc>
          <w:tcPr>
            <w:tcW w:type="dxa" w:w="1224"/>
          </w:tcPr>
          <w:p>
            <w:pPr>
              <w:jc w:val="right"/>
            </w:pPr>
            <w:r/>
            <w:r>
              <w:rPr>
                <w:sz w:val="18"/>
              </w:rPr>
              <w:t>—</w:t>
            </w:r>
          </w:p>
        </w:tc>
        <w:tc>
          <w:tcPr>
            <w:tcW w:type="dxa" w:w="1224"/>
          </w:tcPr>
          <w:p>
            <w:pPr>
              <w:jc w:val="right"/>
            </w:pPr>
            <w:r/>
            <w:r>
              <w:rPr>
                <w:sz w:val="18"/>
              </w:rPr>
              <w:t>15.4%</w:t>
            </w:r>
          </w:p>
        </w:tc>
        <w:tc>
          <w:tcPr>
            <w:tcW w:type="dxa" w:w="1368"/>
          </w:tcPr>
          <w:p>
            <w:pPr>
              <w:jc w:val="right"/>
            </w:pPr>
            <w:r/>
            <w:r>
              <w:rPr>
                <w:sz w:val="18"/>
              </w:rPr>
              <w:t>16.0%</w:t>
            </w:r>
          </w:p>
        </w:tc>
        <w:tc>
          <w:tcPr>
            <w:tcW w:type="dxa" w:w="1224"/>
          </w:tcPr>
          <w:p>
            <w:pPr>
              <w:jc w:val="right"/>
            </w:pPr>
            <w:r/>
            <w:r>
              <w:rPr>
                <w:sz w:val="18"/>
              </w:rPr>
              <w:t>9.4%</w:t>
            </w:r>
          </w:p>
        </w:tc>
        <w:tc>
          <w:tcPr>
            <w:tcW w:type="dxa" w:w="1224"/>
          </w:tcPr>
          <w:p>
            <w:pPr>
              <w:jc w:val="right"/>
            </w:pPr>
            <w:r/>
            <w:r>
              <w:rPr>
                <w:sz w:val="18"/>
              </w:rPr>
              <w:t>11.9%</w:t>
            </w:r>
          </w:p>
        </w:tc>
      </w:tr>
      <w:tr>
        <w:tc>
          <w:tcPr>
            <w:tcW w:type="dxa" w:w="3456"/>
          </w:tcPr>
          <w:p>
            <w:r/>
            <w:r>
              <w:rPr>
                <w:sz w:val="18"/>
              </w:rPr>
              <w:t>Restaurant margin, % of restaurant sales</w:t>
            </w:r>
          </w:p>
        </w:tc>
        <w:tc>
          <w:tcPr>
            <w:tcW w:type="dxa" w:w="1224"/>
          </w:tcPr>
          <w:p>
            <w:pPr>
              <w:jc w:val="right"/>
            </w:pPr>
            <w:r/>
            <w:r>
              <w:rPr>
                <w:sz w:val="18"/>
              </w:rPr>
              <w:t>15.7%</w:t>
            </w:r>
          </w:p>
        </w:tc>
        <w:tc>
          <w:tcPr>
            <w:tcW w:type="dxa" w:w="1224"/>
          </w:tcPr>
          <w:p>
            <w:pPr>
              <w:jc w:val="right"/>
            </w:pPr>
            <w:r/>
            <w:r>
              <w:rPr>
                <w:sz w:val="18"/>
              </w:rPr>
              <w:t>15.4%</w:t>
            </w:r>
          </w:p>
        </w:tc>
        <w:tc>
          <w:tcPr>
            <w:tcW w:type="dxa" w:w="1368"/>
          </w:tcPr>
          <w:p>
            <w:pPr>
              <w:jc w:val="right"/>
            </w:pPr>
            <w:r/>
            <w:r>
              <w:rPr>
                <w:sz w:val="18"/>
              </w:rPr>
              <w:t>17.1%</w:t>
            </w:r>
          </w:p>
        </w:tc>
        <w:tc>
          <w:tcPr>
            <w:tcW w:type="dxa" w:w="1224"/>
          </w:tcPr>
          <w:p>
            <w:pPr>
              <w:jc w:val="right"/>
            </w:pPr>
            <w:r/>
            <w:r>
              <w:rPr>
                <w:sz w:val="18"/>
              </w:rPr>
              <w:t>15.5%</w:t>
            </w:r>
          </w:p>
        </w:tc>
        <w:tc>
          <w:tcPr>
            <w:tcW w:type="dxa" w:w="1224"/>
          </w:tcPr>
          <w:p>
            <w:pPr>
              <w:jc w:val="right"/>
            </w:pPr>
            <w:r/>
            <w:r>
              <w:rPr>
                <w:sz w:val="18"/>
              </w:rPr>
              <w:t>16.4%</w:t>
            </w:r>
          </w:p>
        </w:tc>
      </w:tr>
      <w:tr>
        <w:tc>
          <w:tcPr>
            <w:tcW w:type="dxa" w:w="3456"/>
          </w:tcPr>
          <w:p>
            <w:r/>
            <w:r>
              <w:rPr>
                <w:sz w:val="18"/>
              </w:rPr>
              <w:t>Income from operations ($M)</w:t>
            </w:r>
          </w:p>
        </w:tc>
        <w:tc>
          <w:tcPr>
            <w:tcW w:type="dxa" w:w="1224"/>
          </w:tcPr>
          <w:p>
            <w:pPr>
              <w:jc w:val="right"/>
            </w:pPr>
            <w:r/>
            <w:r>
              <w:rPr>
                <w:sz w:val="18"/>
              </w:rPr>
              <w:t>320.2</w:t>
            </w:r>
          </w:p>
        </w:tc>
        <w:tc>
          <w:tcPr>
            <w:tcW w:type="dxa" w:w="1224"/>
          </w:tcPr>
          <w:p>
            <w:pPr>
              <w:jc w:val="right"/>
            </w:pPr>
            <w:r/>
            <w:r>
              <w:rPr>
                <w:sz w:val="18"/>
              </w:rPr>
              <w:t>354.0</w:t>
            </w:r>
          </w:p>
        </w:tc>
        <w:tc>
          <w:tcPr>
            <w:tcW w:type="dxa" w:w="1368"/>
          </w:tcPr>
          <w:p>
            <w:pPr>
              <w:jc w:val="right"/>
            </w:pPr>
            <w:r/>
            <w:r>
              <w:rPr>
                <w:sz w:val="18"/>
              </w:rPr>
              <w:t>516.5</w:t>
            </w:r>
          </w:p>
        </w:tc>
        <w:tc>
          <w:tcPr>
            <w:tcW w:type="dxa" w:w="1224"/>
          </w:tcPr>
          <w:p>
            <w:pPr>
              <w:jc w:val="right"/>
            </w:pPr>
            <w:r/>
            <w:r>
              <w:rPr>
                <w:sz w:val="18"/>
              </w:rPr>
              <w:t>474.7</w:t>
            </w:r>
          </w:p>
        </w:tc>
        <w:tc>
          <w:tcPr>
            <w:tcW w:type="dxa" w:w="1224"/>
          </w:tcPr>
          <w:p>
            <w:pPr>
              <w:jc w:val="right"/>
            </w:pPr>
            <w:r/>
            <w:r>
              <w:rPr>
                <w:sz w:val="18"/>
              </w:rPr>
              <w:t>289.1</w:t>
            </w:r>
          </w:p>
        </w:tc>
      </w:tr>
      <w:tr>
        <w:tc>
          <w:tcPr>
            <w:tcW w:type="dxa" w:w="3456"/>
          </w:tcPr>
          <w:p>
            <w:r/>
            <w:r>
              <w:rPr>
                <w:sz w:val="18"/>
              </w:rPr>
              <w:t>Diluted EPS ($)</w:t>
            </w:r>
          </w:p>
        </w:tc>
        <w:tc>
          <w:tcPr>
            <w:tcW w:type="dxa" w:w="1224"/>
          </w:tcPr>
          <w:p>
            <w:pPr>
              <w:jc w:val="right"/>
            </w:pPr>
            <w:r/>
            <w:r>
              <w:rPr>
                <w:sz w:val="18"/>
              </w:rPr>
              <w:t>$3.97</w:t>
            </w:r>
          </w:p>
        </w:tc>
        <w:tc>
          <w:tcPr>
            <w:tcW w:type="dxa" w:w="1224"/>
          </w:tcPr>
          <w:p>
            <w:pPr>
              <w:jc w:val="right"/>
            </w:pPr>
            <w:r/>
            <w:r>
              <w:rPr>
                <w:sz w:val="18"/>
              </w:rPr>
              <w:t>$4.54</w:t>
            </w:r>
          </w:p>
        </w:tc>
        <w:tc>
          <w:tcPr>
            <w:tcW w:type="dxa" w:w="1368"/>
          </w:tcPr>
          <w:p>
            <w:pPr>
              <w:jc w:val="right"/>
            </w:pPr>
            <w:r/>
            <w:r>
              <w:rPr>
                <w:sz w:val="18"/>
              </w:rPr>
              <w:t>$6.47</w:t>
            </w:r>
          </w:p>
        </w:tc>
        <w:tc>
          <w:tcPr>
            <w:tcW w:type="dxa" w:w="1224"/>
          </w:tcPr>
          <w:p>
            <w:pPr>
              <w:jc w:val="right"/>
            </w:pPr>
            <w:r/>
            <w:r>
              <w:rPr>
                <w:sz w:val="18"/>
              </w:rPr>
              <w:t>$6.10</w:t>
            </w:r>
          </w:p>
        </w:tc>
        <w:tc>
          <w:tcPr>
            <w:tcW w:type="dxa" w:w="1224"/>
          </w:tcPr>
          <w:p>
            <w:pPr>
              <w:jc w:val="right"/>
            </w:pPr>
            <w:r/>
            <w:r>
              <w:rPr>
                <w:sz w:val="18"/>
              </w:rPr>
              <w:t>$3.72</w:t>
            </w:r>
          </w:p>
        </w:tc>
      </w:tr>
      <w:tr>
        <w:tc>
          <w:tcPr>
            <w:tcW w:type="dxa" w:w="3456"/>
          </w:tcPr>
          <w:p>
            <w:r/>
            <w:r>
              <w:rPr>
                <w:sz w:val="18"/>
              </w:rPr>
              <w:t>Company restaurants, end of period</w:t>
            </w:r>
          </w:p>
        </w:tc>
        <w:tc>
          <w:tcPr>
            <w:tcW w:type="dxa" w:w="1224"/>
          </w:tcPr>
          <w:p>
            <w:pPr>
              <w:jc w:val="right"/>
            </w:pPr>
            <w:r/>
            <w:r>
              <w:rPr>
                <w:sz w:val="18"/>
              </w:rPr>
              <w:t>597</w:t>
            </w:r>
          </w:p>
        </w:tc>
        <w:tc>
          <w:tcPr>
            <w:tcW w:type="dxa" w:w="1224"/>
          </w:tcPr>
          <w:p>
            <w:pPr>
              <w:jc w:val="right"/>
            </w:pPr>
            <w:r/>
            <w:r>
              <w:rPr>
                <w:sz w:val="18"/>
              </w:rPr>
              <w:t>635</w:t>
            </w:r>
          </w:p>
        </w:tc>
        <w:tc>
          <w:tcPr>
            <w:tcW w:type="dxa" w:w="1368"/>
          </w:tcPr>
          <w:p>
            <w:pPr>
              <w:jc w:val="right"/>
            </w:pPr>
            <w:r/>
            <w:r>
              <w:rPr>
                <w:sz w:val="18"/>
              </w:rPr>
              <w:t>666</w:t>
            </w:r>
          </w:p>
        </w:tc>
        <w:tc>
          <w:tcPr>
            <w:tcW w:type="dxa" w:w="1224"/>
          </w:tcPr>
          <w:p>
            <w:pPr>
              <w:jc w:val="right"/>
            </w:pPr>
            <w:r/>
            <w:r>
              <w:rPr>
                <w:sz w:val="18"/>
              </w:rPr>
              <w:t>714</w:t>
            </w:r>
          </w:p>
        </w:tc>
        <w:tc>
          <w:tcPr>
            <w:tcW w:type="dxa" w:w="1224"/>
          </w:tcPr>
          <w:p>
            <w:pPr>
              <w:jc w:val="right"/>
            </w:pPr>
            <w:r/>
            <w:r>
              <w:rPr>
                <w:sz w:val="18"/>
              </w:rPr>
              <w:t>732</w:t>
            </w:r>
          </w:p>
        </w:tc>
      </w:tr>
      <w:tr>
        <w:tc>
          <w:tcPr>
            <w:tcW w:type="dxa" w:w="3456"/>
          </w:tcPr>
          <w:p>
            <w:r/>
            <w:r>
              <w:rPr>
                <w:sz w:val="18"/>
              </w:rPr>
              <w:t>Comparable restaurant sales growth</w:t>
            </w:r>
          </w:p>
        </w:tc>
        <w:tc>
          <w:tcPr>
            <w:tcW w:type="dxa" w:w="1224"/>
          </w:tcPr>
          <w:p>
            <w:pPr>
              <w:jc w:val="right"/>
            </w:pPr>
            <w:r/>
            <w:r>
              <w:rPr>
                <w:sz w:val="18"/>
              </w:rPr>
              <w:t>9.7%</w:t>
            </w:r>
          </w:p>
        </w:tc>
        <w:tc>
          <w:tcPr>
            <w:tcW w:type="dxa" w:w="1224"/>
          </w:tcPr>
          <w:p>
            <w:pPr>
              <w:jc w:val="right"/>
            </w:pPr>
            <w:r/>
            <w:r>
              <w:rPr>
                <w:sz w:val="18"/>
              </w:rPr>
              <w:t>10.1%</w:t>
            </w:r>
          </w:p>
        </w:tc>
        <w:tc>
          <w:tcPr>
            <w:tcW w:type="dxa" w:w="1368"/>
          </w:tcPr>
          <w:p>
            <w:pPr>
              <w:jc w:val="right"/>
            </w:pPr>
            <w:r/>
            <w:r>
              <w:rPr>
                <w:sz w:val="18"/>
              </w:rPr>
              <w:t>8.5%</w:t>
            </w:r>
          </w:p>
        </w:tc>
        <w:tc>
          <w:tcPr>
            <w:tcW w:type="dxa" w:w="1224"/>
          </w:tcPr>
          <w:p>
            <w:pPr>
              <w:jc w:val="right"/>
            </w:pPr>
            <w:r/>
            <w:r>
              <w:rPr>
                <w:sz w:val="18"/>
              </w:rPr>
              <w:t>4.9%</w:t>
            </w:r>
          </w:p>
        </w:tc>
        <w:tc>
          <w:tcPr>
            <w:tcW w:type="dxa" w:w="1224"/>
          </w:tcPr>
          <w:p>
            <w:pPr>
              <w:jc w:val="right"/>
            </w:pPr>
            <w:r/>
            <w:r>
              <w:rPr>
                <w:sz w:val="18"/>
              </w:rPr>
              <w:t>6.7%</w:t>
            </w:r>
          </w:p>
        </w:tc>
      </w:tr>
    </w:tbl>
    <w:p>
      <w:pPr>
        <w:spacing w:after="40"/>
      </w:pPr>
    </w:p>
    <w:p>
      <w:r>
        <w:rPr>
          <w:i w:val="0"/>
          <w:color w:val="5B6475"/>
          <w:sz w:val="17"/>
        </w:rPr>
        <w:t>Source: Texas Roadhouse 10-K filings FY2022–FY2025 and 10-Q for the 26 weeks to 30 June 2026. 6M26 comparable sales growth is for the 26 weeks.</w:t>
      </w:r>
    </w:p>
    <w:p>
      <w:pPr>
        <w:pStyle w:val="Heading1"/>
      </w:pPr>
      <w:r>
        <w:t>3. Assignment 1 — written initiation memo (client-ready)</w:t>
      </w:r>
    </w:p>
    <w:p>
      <w:r>
        <w:rPr>
          <w:i w:val="0"/>
        </w:rPr>
        <w:t>Write a memo of no more than three pages (plus up to two pages of exhibits) addressed to the Managing Director. It should be good enough to forward to a portfolio manager without edits. Use these sections, in this order:</w:t>
      </w:r>
    </w:p>
    <w:p>
      <w:pPr>
        <w:pStyle w:val="ListNumber"/>
      </w:pPr>
      <w:r>
        <w:t>Recommendation and price target. Rating (Buy / Hold / Sell or Outperform / Neutral / Underperform), 12-month price target and expected total return, in the first three sentences.</w:t>
      </w:r>
    </w:p>
    <w:p>
      <w:pPr>
        <w:pStyle w:val="ListNumber"/>
      </w:pPr>
      <w:r>
        <w:t>Investment thesis. Three numbered points, each tied to a number in your model.</w:t>
      </w:r>
    </w:p>
    <w:p>
      <w:pPr>
        <w:pStyle w:val="ListNumber"/>
      </w:pPr>
      <w:r>
        <w:t>Business and unit economics. How TXRH makes money: store weeks × sales per store week, restaurant margin, new-unit returns. Explain why franchise buy-backs change the mix of revenue and margin.</w:t>
      </w:r>
    </w:p>
    <w:p>
      <w:pPr>
        <w:pStyle w:val="ListNumber"/>
      </w:pPr>
      <w:r>
        <w:t>What the market is pricing in. Use your DCF to back out the exit multiple, perpetual growth rate or restaurant margin the current price implies, and say whether it is reasonable.</w:t>
      </w:r>
    </w:p>
    <w:p>
      <w:pPr>
        <w:pStyle w:val="ListNumber"/>
      </w:pPr>
      <w:r>
        <w:t>Valuation. DCF (both terminal methods) and trading comparables, summarised in a football field. Reconcile the methods: explain why they differ.</w:t>
      </w:r>
    </w:p>
    <w:p>
      <w:pPr>
        <w:pStyle w:val="ListNumber"/>
      </w:pPr>
      <w:r>
        <w:t>Risks and what would change your mind. Beef cost cycle, traffic after the September 2026 social-media episode, wage inflation, the rate environment. At least one quantified downside case.</w:t>
      </w:r>
    </w:p>
    <w:p>
      <w:pPr>
        <w:pStyle w:val="ListNumber"/>
      </w:pPr>
      <w:r>
        <w:t>Catalysts and timeline. What you would watch at 3Q26 results and the FY27 outlook.</w:t>
      </w:r>
    </w:p>
    <w:tbl>
      <w:tblPr>
        <w:tblW w:type="auto" w:w="0"/>
        <w:tblLook w:firstColumn="1" w:firstRow="1" w:lastColumn="0" w:lastRow="0" w:noHBand="0" w:noVBand="1" w:val="04A0"/>
        <w:tblBorders>
          <w:top w:val="single" w:sz="4" w:color="1E3A5F"/>
          <w:left w:val="single" w:sz="4" w:color="1E3A5F"/>
          <w:bottom w:val="single" w:sz="4" w:color="1E3A5F"/>
          <w:right w:val="single" w:sz="4" w:color="1E3A5F"/>
          <w:insideH w:val="single" w:sz="4" w:color="1E3A5F"/>
          <w:insideV w:val="single" w:sz="4" w:color="1E3A5F"/>
        </w:tblBorders>
      </w:tblPr>
      <w:tblGrid>
        <w:gridCol w:w="9360"/>
      </w:tblGrid>
      <w:tr>
        <w:tc>
          <w:tcPr>
            <w:tcW w:type="dxa" w:w="9360"/>
            <w:shd w:val="clear" w:color="auto" w:fill="F2F4F8"/>
          </w:tcPr>
          <w:p>
            <w:r/>
            <w:r>
              <w:rPr>
                <w:rFonts w:ascii="Georgia" w:hAnsi="Georgia"/>
                <w:b/>
                <w:color w:val="1E3A5F"/>
              </w:rPr>
              <w:t>Standards for the memo</w:t>
            </w:r>
          </w:p>
          <w:p>
            <w:r>
              <w:rPr>
                <w:sz w:val="20"/>
              </w:rPr>
              <w:t>Lead with the answer; no throat-clearing. Every claim that matters has a number and a source (filing, page or exhibit).</w:t>
            </w:r>
          </w:p>
          <w:p>
            <w:r>
              <w:rPr>
                <w:sz w:val="20"/>
              </w:rPr>
              <w:t>Distinguish facts (filed figures) from your assumptions (label them). Label periods precisely: FY25A, LTM Jun-26, FY27E.</w:t>
            </w:r>
          </w:p>
          <w:p>
            <w:r>
              <w:rPr>
                <w:sz w:val="20"/>
              </w:rPr>
              <w:t>Address the strongest counter-argument to your recommendation in its own paragraph.</w:t>
            </w:r>
          </w:p>
        </w:tc>
      </w:tr>
    </w:tbl>
    <w:p>
      <w:pPr>
        <w:spacing w:after="40"/>
      </w:pPr>
    </w:p>
    <w:p>
      <w:pPr>
        <w:pStyle w:val="Heading1"/>
      </w:pPr>
      <w:r>
        <w:t>4. Assignment 2 — financial model</w:t>
      </w:r>
    </w:p>
    <w:p>
      <w:r>
        <w:rPr>
          <w:i w:val="0"/>
        </w:rPr>
        <w:t>Build a five-year (FY26E–FY30E) integrated model in the template provided. Historical financials (FY22A–FY25A, 6M25A and 6M26A) are already entered from the filings and tie to the reported totals. You build every yellow cell.</w:t>
      </w:r>
    </w:p>
    <w:p>
      <w:pPr>
        <w:pStyle w:val="Heading2"/>
      </w:pPr>
      <w:r>
        <w:t>Deliverables</w:t>
      </w:r>
    </w:p>
    <w:p>
      <w:pPr>
        <w:pStyle w:val="ListNumber"/>
      </w:pPr>
      <w:r>
        <w:t>Operating build: company restaurant roll-forward (openings and franchise acquisitions), store weeks, sales per store week, royalties, and a capex build split into new restaurants, refurbishment / maintenance and Support Center.</w:t>
      </w:r>
    </w:p>
    <w:p>
      <w:pPr>
        <w:pStyle w:val="ListNumber"/>
      </w:pPr>
      <w:r>
        <w:t>Integrated three-statement forecast: income statement, balance sheet and cash flow statement. The balance sheet must balance in every forecast year (the Checks tab must read ALL CHECKS OK) with no hard-coded plugs.</w:t>
      </w:r>
    </w:p>
    <w:p>
      <w:pPr>
        <w:pStyle w:val="ListNumber"/>
      </w:pPr>
      <w:r>
        <w:t>Debt schedule: revolver with a minimum-cash draw and excess-cash sweep, interest on opening balances (no circular references), interest income on cash.</w:t>
      </w:r>
    </w:p>
    <w:p>
      <w:pPr>
        <w:pStyle w:val="ListNumber"/>
      </w:pPr>
      <w:r>
        <w:t>DCF: unlevered free cash flow, WACC built up from CAPM with a relevered peer beta, mid-period discounting from the 30 June 2026 balance sheet including a stub period for 2H26, and both Gordon-growth and exit-multiple terminal values. Show the implied exit multiple and implied perpetual growth rate for each method.</w:t>
      </w:r>
    </w:p>
    <w:p>
      <w:pPr>
        <w:pStyle w:val="ListNumber"/>
      </w:pPr>
      <w:r>
        <w:t>Trading comparables: the four peers in the template (DRI, EAT, CAKE, BJRI) with LTM metrics built as FY + YTD − prior YTD, EV / LTM EBITDA and P / LTM EPS, and your judgement on where TXRH should sit in the range.</w:t>
      </w:r>
    </w:p>
    <w:p>
      <w:pPr>
        <w:pStyle w:val="ListNumber"/>
      </w:pPr>
      <w:r>
        <w:t>Sensitivities: WACC × terminal growth, WACC × exit multiple, and one operating grid (revenue growth × EBITDA margin), built with live formulas rather than Excel Data Tables.</w:t>
      </w:r>
    </w:p>
    <w:p>
      <w:pPr>
        <w:pStyle w:val="ListNumber"/>
      </w:pPr>
      <w:r>
        <w:t>Football field: 52-week range, comps ranges and DCF ranges against the current price.</w:t>
      </w:r>
    </w:p>
    <w:p>
      <w:pPr>
        <w:pStyle w:val="Heading2"/>
      </w:pPr>
      <w:r>
        <w:t>Required conventions</w:t>
      </w:r>
    </w:p>
    <w:p>
      <w:pPr>
        <w:pStyle w:val="ListBullet"/>
      </w:pPr>
      <w:r>
        <w:rPr>
          <w:b/>
        </w:rPr>
        <w:t xml:space="preserve">Fiscal calendar. </w:t>
      </w:r>
      <w:r>
        <w:t>FY26 ends 29 December 2026 (52 weeks). FY30 ends 31 December 2030 and is a 53-week year. Forecast store weeks accordingly, and normalise the terminal year to 52 weeks before capitalising it.</w:t>
      </w:r>
    </w:p>
    <w:p>
      <w:pPr>
        <w:pStyle w:val="ListBullet"/>
      </w:pPr>
      <w:r>
        <w:rPr>
          <w:b/>
        </w:rPr>
        <w:t xml:space="preserve">Tax. </w:t>
      </w:r>
      <w:r>
        <w:t>Use management's ~14% effective rate for FY26E; justify your rate for FY27E onwards. Explain what drives TXRH's rate below the statutory rate.</w:t>
      </w:r>
    </w:p>
    <w:p>
      <w:pPr>
        <w:pStyle w:val="ListBullet"/>
      </w:pPr>
      <w:r>
        <w:rPr>
          <w:b/>
        </w:rPr>
        <w:t xml:space="preserve">Leases. </w:t>
      </w:r>
      <w:r>
        <w:t>TXRH reports under ASC 842. Be explicit about whether your EBITDA is before or after rent and keep enterprise value and multiples on the same basis.</w:t>
      </w:r>
    </w:p>
    <w:p>
      <w:pPr>
        <w:pStyle w:val="ListBullet"/>
      </w:pPr>
      <w:r>
        <w:rPr>
          <w:b/>
        </w:rPr>
        <w:t xml:space="preserve">Valuation date. </w:t>
      </w:r>
      <w:r>
        <w:t>Discount to the 30 June 2026 balance sheet date and roll the equity value forward to 9 October 2026; deduct the $0.75 dividend paid on 29 September 2026.</w:t>
      </w:r>
    </w:p>
    <w:p>
      <w:pPr>
        <w:pStyle w:val="ListBullet"/>
      </w:pPr>
      <w:r>
        <w:rPr>
          <w:b/>
        </w:rPr>
        <w:t xml:space="preserve">Market inputs. </w:t>
      </w:r>
      <w:r>
        <w:t>Use the share price, share count, Treasury yield and peer data in the template (all dated and sourced). If you choose a different equity risk premium, beta or terminal assumption, cite a dated source or label it Judgment with a rationale.</w:t>
      </w:r>
    </w:p>
    <w:p>
      <w:pPr>
        <w:pStyle w:val="ListBullet"/>
      </w:pPr>
      <w:r>
        <w:rPr>
          <w:b/>
        </w:rPr>
        <w:t xml:space="preserve">Signs and units. </w:t>
      </w:r>
      <w:r>
        <w:t>$ millions; income-statement costs positive and subtracted; cash flow statement as filed (outflows negative).</w:t>
      </w:r>
    </w:p>
    <w:p>
      <w:pPr>
        <w:pStyle w:val="Heading1"/>
      </w:pPr>
      <w:r>
        <w:t>5. Time budget</w:t>
      </w:r>
    </w:p>
    <w:tbl>
      <w:tblPr>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7200"/>
        <w:gridCol w:w="2160"/>
      </w:tblGrid>
      <w:tr>
        <w:tc>
          <w:tcPr>
            <w:tcW w:type="dxa" w:w="7200"/>
            <w:shd w:val="clear" w:color="auto" w:fill="1E3A5F"/>
          </w:tcPr>
          <w:p>
            <w:r/>
            <w:r>
              <w:rPr>
                <w:b/>
                <w:color w:val="FFFFFF"/>
                <w:sz w:val="18"/>
              </w:rPr>
              <w:t>Task</w:t>
            </w:r>
          </w:p>
        </w:tc>
        <w:tc>
          <w:tcPr>
            <w:tcW w:type="dxa" w:w="2160"/>
            <w:shd w:val="clear" w:color="auto" w:fill="1E3A5F"/>
          </w:tcPr>
          <w:p>
            <w:r/>
            <w:r>
              <w:rPr>
                <w:b/>
                <w:color w:val="FFFFFF"/>
                <w:sz w:val="18"/>
              </w:rPr>
              <w:t>Suggested time</w:t>
            </w:r>
          </w:p>
        </w:tc>
      </w:tr>
      <w:tr>
        <w:tc>
          <w:tcPr>
            <w:tcW w:type="dxa" w:w="7200"/>
          </w:tcPr>
          <w:p>
            <w:r/>
            <w:r>
              <w:rPr>
                <w:sz w:val="18"/>
              </w:rPr>
              <w:t>Read the filings: 10-K FY25 (Items 1, 7 and Notes on leases, income taxes and acquisitions), 10-Q 2Q26, 2Q26 earnings release</w:t>
            </w:r>
          </w:p>
        </w:tc>
        <w:tc>
          <w:tcPr>
            <w:tcW w:type="dxa" w:w="2160"/>
          </w:tcPr>
          <w:p>
            <w:pPr>
              <w:jc w:val="right"/>
            </w:pPr>
            <w:r/>
            <w:r>
              <w:rPr>
                <w:sz w:val="18"/>
              </w:rPr>
              <w:t>2.0–2.5 h</w:t>
            </w:r>
          </w:p>
        </w:tc>
      </w:tr>
      <w:tr>
        <w:tc>
          <w:tcPr>
            <w:tcW w:type="dxa" w:w="7200"/>
          </w:tcPr>
          <w:p>
            <w:r/>
            <w:r>
              <w:rPr>
                <w:sz w:val="18"/>
              </w:rPr>
              <w:t>Operating build and income statement</w:t>
            </w:r>
          </w:p>
        </w:tc>
        <w:tc>
          <w:tcPr>
            <w:tcW w:type="dxa" w:w="2160"/>
          </w:tcPr>
          <w:p>
            <w:pPr>
              <w:jc w:val="right"/>
            </w:pPr>
            <w:r/>
            <w:r>
              <w:rPr>
                <w:sz w:val="18"/>
              </w:rPr>
              <w:t>2.0 h</w:t>
            </w:r>
          </w:p>
        </w:tc>
      </w:tr>
      <w:tr>
        <w:tc>
          <w:tcPr>
            <w:tcW w:type="dxa" w:w="7200"/>
          </w:tcPr>
          <w:p>
            <w:r/>
            <w:r>
              <w:rPr>
                <w:sz w:val="18"/>
              </w:rPr>
              <w:t>Balance sheet, cash flow and debt schedule; balance the model</w:t>
            </w:r>
          </w:p>
        </w:tc>
        <w:tc>
          <w:tcPr>
            <w:tcW w:type="dxa" w:w="2160"/>
          </w:tcPr>
          <w:p>
            <w:pPr>
              <w:jc w:val="right"/>
            </w:pPr>
            <w:r/>
            <w:r>
              <w:rPr>
                <w:sz w:val="18"/>
              </w:rPr>
              <w:t>2.0–3.0 h</w:t>
            </w:r>
          </w:p>
        </w:tc>
      </w:tr>
      <w:tr>
        <w:tc>
          <w:tcPr>
            <w:tcW w:type="dxa" w:w="7200"/>
          </w:tcPr>
          <w:p>
            <w:r/>
            <w:r>
              <w:rPr>
                <w:sz w:val="18"/>
              </w:rPr>
              <w:t>DCF, comps, sensitivities, football field</w:t>
            </w:r>
          </w:p>
        </w:tc>
        <w:tc>
          <w:tcPr>
            <w:tcW w:type="dxa" w:w="2160"/>
          </w:tcPr>
          <w:p>
            <w:pPr>
              <w:jc w:val="right"/>
            </w:pPr>
            <w:r/>
            <w:r>
              <w:rPr>
                <w:sz w:val="18"/>
              </w:rPr>
              <w:t>2.0 h</w:t>
            </w:r>
          </w:p>
        </w:tc>
      </w:tr>
      <w:tr>
        <w:tc>
          <w:tcPr>
            <w:tcW w:type="dxa" w:w="7200"/>
          </w:tcPr>
          <w:p>
            <w:r/>
            <w:r>
              <w:rPr>
                <w:sz w:val="18"/>
              </w:rPr>
              <w:t>Write the memo and exhibits</w:t>
            </w:r>
          </w:p>
        </w:tc>
        <w:tc>
          <w:tcPr>
            <w:tcW w:type="dxa" w:w="2160"/>
          </w:tcPr>
          <w:p>
            <w:pPr>
              <w:jc w:val="right"/>
            </w:pPr>
            <w:r/>
            <w:r>
              <w:rPr>
                <w:sz w:val="18"/>
              </w:rPr>
              <w:t>2.5–3.0 h</w:t>
            </w:r>
          </w:p>
        </w:tc>
      </w:tr>
      <w:tr>
        <w:tc>
          <w:tcPr>
            <w:tcW w:type="dxa" w:w="7200"/>
          </w:tcPr>
          <w:p>
            <w:r/>
            <w:r>
              <w:rPr>
                <w:sz w:val="18"/>
              </w:rPr>
              <w:t>Review: checks, sanity tests, proofread</w:t>
            </w:r>
          </w:p>
        </w:tc>
        <w:tc>
          <w:tcPr>
            <w:tcW w:type="dxa" w:w="2160"/>
          </w:tcPr>
          <w:p>
            <w:pPr>
              <w:jc w:val="right"/>
            </w:pPr>
            <w:r/>
            <w:r>
              <w:rPr>
                <w:sz w:val="18"/>
              </w:rPr>
              <w:t>1.0 h</w:t>
            </w:r>
          </w:p>
        </w:tc>
      </w:tr>
      <w:tr>
        <w:tc>
          <w:tcPr>
            <w:tcW w:type="dxa" w:w="7200"/>
          </w:tcPr>
          <w:p>
            <w:r/>
            <w:r>
              <w:rPr>
                <w:b/>
                <w:sz w:val="18"/>
              </w:rPr>
              <w:t>Total</w:t>
            </w:r>
          </w:p>
        </w:tc>
        <w:tc>
          <w:tcPr>
            <w:tcW w:type="dxa" w:w="2160"/>
          </w:tcPr>
          <w:p>
            <w:pPr>
              <w:jc w:val="right"/>
            </w:pPr>
            <w:r/>
            <w:r>
              <w:rPr>
                <w:b/>
                <w:sz w:val="18"/>
              </w:rPr>
              <w:t>11.5–13.5 h over 1–2 days</w:t>
            </w:r>
          </w:p>
        </w:tc>
      </w:tr>
    </w:tbl>
    <w:p>
      <w:pPr>
        <w:spacing w:after="40"/>
      </w:pPr>
    </w:p>
    <w:p>
      <w:pPr>
        <w:pStyle w:val="Heading1"/>
      </w:pPr>
      <w:r>
        <w:t>6. How you will be graded</w:t>
      </w:r>
    </w:p>
    <w:tbl>
      <w:tblPr>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2304"/>
        <w:gridCol w:w="1007"/>
        <w:gridCol w:w="6048"/>
      </w:tblGrid>
      <w:tr>
        <w:tc>
          <w:tcPr>
            <w:tcW w:type="dxa" w:w="2304"/>
            <w:shd w:val="clear" w:color="auto" w:fill="1E3A5F"/>
          </w:tcPr>
          <w:p>
            <w:r/>
            <w:r>
              <w:rPr>
                <w:b/>
                <w:color w:val="FFFFFF"/>
                <w:sz w:val="18"/>
              </w:rPr>
              <w:t>Area</w:t>
            </w:r>
          </w:p>
        </w:tc>
        <w:tc>
          <w:tcPr>
            <w:tcW w:type="dxa" w:w="1008"/>
            <w:shd w:val="clear" w:color="auto" w:fill="1E3A5F"/>
          </w:tcPr>
          <w:p>
            <w:r/>
            <w:r>
              <w:rPr>
                <w:b/>
                <w:color w:val="FFFFFF"/>
                <w:sz w:val="18"/>
              </w:rPr>
              <w:t>Weight</w:t>
            </w:r>
          </w:p>
        </w:tc>
        <w:tc>
          <w:tcPr>
            <w:tcW w:type="dxa" w:w="6048"/>
            <w:shd w:val="clear" w:color="auto" w:fill="1E3A5F"/>
          </w:tcPr>
          <w:p>
            <w:r/>
            <w:r>
              <w:rPr>
                <w:b/>
                <w:color w:val="FFFFFF"/>
                <w:sz w:val="18"/>
              </w:rPr>
              <w:t>What earns full credit</w:t>
            </w:r>
          </w:p>
        </w:tc>
      </w:tr>
      <w:tr>
        <w:tc>
          <w:tcPr>
            <w:tcW w:type="dxa" w:w="2304"/>
          </w:tcPr>
          <w:p>
            <w:r/>
            <w:r>
              <w:rPr>
                <w:sz w:val="18"/>
              </w:rPr>
              <w:t>Model integrity</w:t>
            </w:r>
          </w:p>
        </w:tc>
        <w:tc>
          <w:tcPr>
            <w:tcW w:type="dxa" w:w="1008"/>
          </w:tcPr>
          <w:p>
            <w:pPr>
              <w:jc w:val="right"/>
            </w:pPr>
            <w:r/>
            <w:r>
              <w:rPr>
                <w:sz w:val="18"/>
              </w:rPr>
              <w:t>20%</w:t>
            </w:r>
          </w:p>
        </w:tc>
        <w:tc>
          <w:tcPr>
            <w:tcW w:type="dxa" w:w="6048"/>
          </w:tcPr>
          <w:p>
            <w:r/>
            <w:r>
              <w:rPr>
                <w:sz w:val="18"/>
              </w:rPr>
              <w:t>Balances in every year; cash ties; no hard-codes in forecast formulas; checks pass; periods and units labelled.</w:t>
            </w:r>
          </w:p>
        </w:tc>
      </w:tr>
      <w:tr>
        <w:tc>
          <w:tcPr>
            <w:tcW w:type="dxa" w:w="2304"/>
          </w:tcPr>
          <w:p>
            <w:r/>
            <w:r>
              <w:rPr>
                <w:sz w:val="18"/>
              </w:rPr>
              <w:t>Forecast quality</w:t>
            </w:r>
          </w:p>
        </w:tc>
        <w:tc>
          <w:tcPr>
            <w:tcW w:type="dxa" w:w="1008"/>
          </w:tcPr>
          <w:p>
            <w:pPr>
              <w:jc w:val="right"/>
            </w:pPr>
            <w:r/>
            <w:r>
              <w:rPr>
                <w:sz w:val="18"/>
              </w:rPr>
              <w:t>20%</w:t>
            </w:r>
          </w:p>
        </w:tc>
        <w:tc>
          <w:tcPr>
            <w:tcW w:type="dxa" w:w="6048"/>
          </w:tcPr>
          <w:p>
            <w:r/>
            <w:r>
              <w:rPr>
                <w:sz w:val="18"/>
              </w:rPr>
              <w:t>Drivers tied to unit growth, sales per store week and cost lines; FY26E consistent with guidance; every assumption sourced or labelled Judgment with a rationale; 53-week year handled.</w:t>
            </w:r>
          </w:p>
        </w:tc>
      </w:tr>
      <w:tr>
        <w:tc>
          <w:tcPr>
            <w:tcW w:type="dxa" w:w="2304"/>
          </w:tcPr>
          <w:p>
            <w:r/>
            <w:r>
              <w:rPr>
                <w:sz w:val="18"/>
              </w:rPr>
              <w:t>Valuation</w:t>
            </w:r>
          </w:p>
        </w:tc>
        <w:tc>
          <w:tcPr>
            <w:tcW w:type="dxa" w:w="1008"/>
          </w:tcPr>
          <w:p>
            <w:pPr>
              <w:jc w:val="right"/>
            </w:pPr>
            <w:r/>
            <w:r>
              <w:rPr>
                <w:sz w:val="18"/>
              </w:rPr>
              <w:t>20%</w:t>
            </w:r>
          </w:p>
        </w:tc>
        <w:tc>
          <w:tcPr>
            <w:tcW w:type="dxa" w:w="6048"/>
          </w:tcPr>
          <w:p>
            <w:r/>
            <w:r>
              <w:rPr>
                <w:sz w:val="18"/>
              </w:rPr>
              <w:t>Correct UFCF, defensible WACC, stub and mid-period mechanics, terminal value cross-checked both ways, leases treated consistently, comps built correctly.</w:t>
            </w:r>
          </w:p>
        </w:tc>
      </w:tr>
      <w:tr>
        <w:tc>
          <w:tcPr>
            <w:tcW w:type="dxa" w:w="2304"/>
          </w:tcPr>
          <w:p>
            <w:r/>
            <w:r>
              <w:rPr>
                <w:sz w:val="18"/>
              </w:rPr>
              <w:t>Memo: thesis and judgement</w:t>
            </w:r>
          </w:p>
        </w:tc>
        <w:tc>
          <w:tcPr>
            <w:tcW w:type="dxa" w:w="1008"/>
          </w:tcPr>
          <w:p>
            <w:pPr>
              <w:jc w:val="right"/>
            </w:pPr>
            <w:r/>
            <w:r>
              <w:rPr>
                <w:sz w:val="18"/>
              </w:rPr>
              <w:t>25%</w:t>
            </w:r>
          </w:p>
        </w:tc>
        <w:tc>
          <w:tcPr>
            <w:tcW w:type="dxa" w:w="6048"/>
          </w:tcPr>
          <w:p>
            <w:r/>
            <w:r>
              <w:rPr>
                <w:sz w:val="18"/>
              </w:rPr>
              <w:t>Clear call with price target; what-is-priced-in analysis; strongest counter-argument addressed; quantified downside.</w:t>
            </w:r>
          </w:p>
        </w:tc>
      </w:tr>
      <w:tr>
        <w:tc>
          <w:tcPr>
            <w:tcW w:type="dxa" w:w="2304"/>
          </w:tcPr>
          <w:p>
            <w:r/>
            <w:r>
              <w:rPr>
                <w:sz w:val="18"/>
              </w:rPr>
              <w:t>Memo: communication</w:t>
            </w:r>
          </w:p>
        </w:tc>
        <w:tc>
          <w:tcPr>
            <w:tcW w:type="dxa" w:w="1008"/>
          </w:tcPr>
          <w:p>
            <w:pPr>
              <w:jc w:val="right"/>
            </w:pPr>
            <w:r/>
            <w:r>
              <w:rPr>
                <w:sz w:val="18"/>
              </w:rPr>
              <w:t>15%</w:t>
            </w:r>
          </w:p>
        </w:tc>
        <w:tc>
          <w:tcPr>
            <w:tcW w:type="dxa" w:w="6048"/>
          </w:tcPr>
          <w:p>
            <w:r/>
            <w:r>
              <w:rPr>
                <w:sz w:val="18"/>
              </w:rPr>
              <w:t>Client-ready, concise, exhibits that support the argument, precise labels and sources.</w:t>
            </w:r>
          </w:p>
        </w:tc>
      </w:tr>
    </w:tbl>
    <w:p>
      <w:pPr>
        <w:spacing w:after="40"/>
      </w:pPr>
    </w:p>
    <w:p>
      <w:pPr>
        <w:pStyle w:val="Heading1"/>
      </w:pPr>
      <w:r>
        <w:t>7. Submission</w:t>
      </w:r>
    </w:p>
    <w:p>
      <w:pPr>
        <w:pStyle w:val="ListBullet"/>
      </w:pPr>
      <w:r>
        <w:t>Your completed workbook (named TXRH-model-&lt;your initials&gt;.xlsx) with the Checks tab showing ALL CHECKS OK.</w:t>
      </w:r>
    </w:p>
    <w:p>
      <w:pPr>
        <w:pStyle w:val="ListBullet"/>
      </w:pPr>
      <w:r>
        <w:t>Your memo as a PDF or Word file (three pages plus up to two pages of exhibits).</w:t>
      </w:r>
    </w:p>
    <w:p>
      <w:pPr>
        <w:pStyle w:val="ListBullet"/>
      </w:pPr>
      <w:r>
        <w:t>A short list of every assumption you changed from management guidance, with the reason.</w:t>
      </w:r>
    </w:p>
    <w:p>
      <w:r>
        <w:rPr>
          <w:i/>
          <w:color w:val="5B6475"/>
          <w:sz w:val="18"/>
        </w:rPr>
        <w:t>This case uses public information only (SEC filings, company releases and market data as of 9 October 2026). It is a training exercise, not investment advice.</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B6475"/>
        <w:sz w:val="16"/>
      </w:rPr>
      <w:t xml:space="preserve">IC Simulator · Texas Roadhouse (TXRH) · Advanced (take-home 1–2 days) · Practice use only · Page </w:t>
    </w:r>
    <w:r>
      <w:rPr>
        <w:sz w:val="16"/>
      </w:rPr>
      <w:fldChar w:fldCharType="begin"/>
      <w:instrText xml:space="preserve">PAGE</w:instrText>
      <w:fldChar w:fldCharType="end"/>
    </w:r>
    <w:r>
      <w:rPr>
        <w:color w:val="5B6475"/>
        <w:sz w:val="16"/>
      </w:rPr>
      <w:t xml:space="preserve"> of </w:t>
    </w:r>
    <w:r>
      <w:rPr>
        <w:sz w:val="16"/>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Georgia" w:hAnsi="Georgia" w:eastAsia="Georgia"/>
      <w:b/>
      <w:bCs/>
      <w:color w:val="1E3A5F"/>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Georgia" w:hAnsi="Georgia" w:eastAsia="Georgia"/>
      <w:b/>
      <w:bCs/>
      <w:color w:val="1E3A5F"/>
      <w:sz w:val="26"/>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Georgia" w:hAnsi="Georgia" w:eastAsia="Georgia"/>
      <w:b/>
      <w:bCs/>
      <w:color w:val="1E3A5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80"/>
      <w:contextualSpacing/>
    </w:pPr>
    <w:rPr>
      <w:rFonts w:asciiTheme="majorHAnsi" w:eastAsiaTheme="majorEastAsia" w:hAnsiTheme="majorHAnsi" w:cstheme="majorBidi" w:ascii="Georgia" w:hAnsi="Georgia" w:eastAsia="Georgia"/>
      <w:b/>
      <w:color w:val="1E3A5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