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Texas Roadhouse: study guide</w:t>
      </w:r>
    </w:p>
    <w:p>
      <w:r>
        <w:rPr>
          <w:rFonts w:ascii="Georgia" w:hAnsi="Georgia"/>
          <w:color w:val="5B6475"/>
          <w:sz w:val="26"/>
        </w:rPr>
        <w:t>Concepts, a modeling walkthrough, common mistakes and interview questions</w:t>
      </w:r>
    </w:p>
    <w:tbl>
      <w:tblPr>
        <w:tblW w:type="auto" w:w="0"/>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592"/>
        <w:gridCol w:w="6768"/>
      </w:tblGrid>
      <w:tr>
        <w:tc>
          <w:tcPr>
            <w:tcW w:type="dxa" w:w="2592"/>
            <w:shd w:val="clear" w:color="auto" w:fill="E4EAF3"/>
          </w:tcPr>
          <w:p>
            <w:r/>
            <w:r>
              <w:rPr>
                <w:b/>
                <w:sz w:val="19"/>
              </w:rPr>
              <w:t>Company</w:t>
            </w:r>
          </w:p>
        </w:tc>
        <w:tc>
          <w:tcPr>
            <w:tcW w:type="dxa" w:w="6768"/>
          </w:tcPr>
          <w:p>
            <w:r/>
            <w:r>
              <w:rPr>
                <w:sz w:val="19"/>
              </w:rPr>
              <w:t>Texas Roadhouse, Inc. (NasdaqGS: TXRH) · Louisville, Kentucky · fiscal year ends last Tuesday of December</w:t>
            </w:r>
          </w:p>
        </w:tc>
      </w:tr>
      <w:tr>
        <w:tc>
          <w:tcPr>
            <w:tcW w:type="dxa" w:w="2592"/>
            <w:shd w:val="clear" w:color="auto" w:fill="E4EAF3"/>
          </w:tcPr>
          <w:p>
            <w:r/>
            <w:r>
              <w:rPr>
                <w:b/>
                <w:sz w:val="19"/>
              </w:rPr>
              <w:t>Case date</w:t>
            </w:r>
          </w:p>
        </w:tc>
        <w:tc>
          <w:tcPr>
            <w:tcW w:type="dxa" w:w="6768"/>
          </w:tcPr>
          <w:p>
            <w:r/>
            <w:r>
              <w:rPr>
                <w:sz w:val="19"/>
              </w:rPr>
              <w:t>Friday 9 October 2026 (market data as of the close). Latest filing: 10-Q for the 26 weeks to 30 June 2026.</w:t>
            </w:r>
          </w:p>
        </w:tc>
      </w:tr>
      <w:tr>
        <w:tc>
          <w:tcPr>
            <w:tcW w:type="dxa" w:w="2592"/>
            <w:shd w:val="clear" w:color="auto" w:fill="E4EAF3"/>
          </w:tcPr>
          <w:p>
            <w:r/>
            <w:r>
              <w:rPr>
                <w:b/>
                <w:sz w:val="19"/>
              </w:rPr>
              <w:t>Level</w:t>
            </w:r>
          </w:p>
        </w:tc>
        <w:tc>
          <w:tcPr>
            <w:tcW w:type="dxa" w:w="6768"/>
          </w:tcPr>
          <w:p>
            <w:r/>
            <w:r>
              <w:rPr>
                <w:sz w:val="19"/>
              </w:rPr>
              <w:t>Advanced (take-home, 1–2 days) · uncalibrated</w:t>
            </w:r>
          </w:p>
        </w:tc>
      </w:tr>
      <w:tr>
        <w:tc>
          <w:tcPr>
            <w:tcW w:type="dxa" w:w="2592"/>
            <w:shd w:val="clear" w:color="auto" w:fill="E4EAF3"/>
          </w:tcPr>
          <w:p>
            <w:r/>
            <w:r>
              <w:rPr>
                <w:b/>
                <w:sz w:val="19"/>
              </w:rPr>
              <w:t>Materials</w:t>
            </w:r>
          </w:p>
        </w:tc>
        <w:tc>
          <w:tcPr>
            <w:tcW w:type="dxa" w:w="6768"/>
          </w:tcPr>
          <w:p>
            <w:r/>
            <w:r>
              <w:rPr>
                <w:sz w:val="19"/>
              </w:rPr>
              <w:t>TXRH-student-model-template.xlsx; this brief; the study guide; public SEC filings (links in the template Cover and the study guide)</w:t>
            </w:r>
          </w:p>
        </w:tc>
      </w:tr>
    </w:tbl>
    <w:p>
      <w:pPr>
        <w:spacing w:after="40"/>
      </w:pPr>
    </w:p>
    <w:p>
      <w:r>
        <w:rPr>
          <w:i/>
        </w:rPr>
        <w:t>Read this before you start the model. It explains what the case is testing and how a strong candidate approaches it. It does not give you the answer: the valuation and the recommendation are yours to make.</w:t>
      </w:r>
    </w:p>
    <w:p>
      <w:pPr>
        <w:pStyle w:val="Heading1"/>
      </w:pPr>
      <w:r>
        <w:t>1. Concepts this case tests</w:t>
      </w:r>
    </w:p>
    <w:p>
      <w:pPr>
        <w:pStyle w:val="Heading2"/>
      </w:pPr>
      <w:r>
        <w:t>1.1 Leases under ASC 842: what EBITDA means for a restaurant company</w:t>
      </w:r>
    </w:p>
    <w:p>
      <w:r>
        <w:rPr>
          <w:i w:val="0"/>
        </w:rPr>
        <w:t>Since 2019 US GAAP (ASC 842) puts operating leases on the balance sheet as a right-of-use (ROU) asset and a lease liability, but, unlike IFRS 16, leaves the expense in the income statement as a single straight-line rent charge within operating costs. For TXRH that means:</w:t>
      </w:r>
    </w:p>
    <w:p>
      <w:pPr>
        <w:pStyle w:val="ListBullet"/>
      </w:pPr>
      <w:r>
        <w:t>Reported EBITDA (income from operations + D&amp;A) is after rent. FY25 rent was $92.3M, about 1.6% of restaurant sales. That is low for casual dining because 487 of the 556 leased sites are ground leases: TXRH leases the land and builds and owns the building, so a large part of the occupancy cost sits in depreciation instead of rent.</w:t>
      </w:r>
    </w:p>
    <w:p>
      <w:pPr>
        <w:pStyle w:val="ListBullet"/>
      </w:pPr>
      <w:r>
        <w:t>The operating-lease liability ($974M at FY25; weighted-average discount rate 6.70%; remaining term 17.5 years) is debt-like, but if EBITDA is after rent you must not add it to enterprise value. Doing both double-counts the lease. Consistency is what matters: EV ex-leases ÷ EBITDA after rent, or EV incl. leases ÷ EBITDAR.</w:t>
      </w:r>
    </w:p>
    <w:p>
      <w:pPr>
        <w:pStyle w:val="ListBullet"/>
      </w:pPr>
      <w:r>
        <w:t>Finance leases are different: their cost runs through depreciation and interest, so they sit in debt (TXRH's are small, about $2.7M).</w:t>
      </w:r>
    </w:p>
    <w:p>
      <w:pPr>
        <w:pStyle w:val="ListBullet"/>
      </w:pPr>
      <w:r>
        <w:t>Peers differ. The Darden debt figure in the comps includes its finance-lease obligations as well as its notes. That is consistent with EBITDA after operating rent, because finance-lease cost sits below EBITDA, but check each peer's lease mix before comparing multiples.</w:t>
      </w:r>
    </w:p>
    <w:p>
      <w:pPr>
        <w:pStyle w:val="Heading2"/>
      </w:pPr>
      <w:r>
        <w:t>1.2 Company-owned vs franchised restaurants</w:t>
      </w:r>
    </w:p>
    <w:p>
      <w:r>
        <w:rPr>
          <w:i w:val="0"/>
        </w:rPr>
        <w:t>A franchisor books royalties (a percentage of franchisee gross sales) at very high margins with little capital. An operator books the whole restaurant's sales and costs and funds the capex. TXRH is 88% company-operated by unit count and almost 100% by revenue. When it buys franchise restaurants (20 in FY25 for $113.5M of cash, 5 in 1H26 for $71.8M), three things happen: revenue jumps by the full restaurant sales (royalty income falls); restaurant margin dollars rise but the margin percentage is driven by the acquired units' cost structure; and purchase price is allocated to goodwill, reacquired franchise rights (intangibles) and property. Model acquisitions as units added and cash spent, not as organic growth, and exclude them from your view of underlying store-week growth.</w:t>
      </w:r>
    </w:p>
    <w:p>
      <w:pPr>
        <w:pStyle w:val="Heading2"/>
      </w:pPr>
      <w:r>
        <w:t>1.3 Unit economics: store weeks, AWS and comparable sales</w:t>
      </w:r>
    </w:p>
    <w:p>
      <w:pPr>
        <w:pStyle w:val="ListBullet"/>
      </w:pPr>
      <w:r>
        <w:t>Restaurant sales ≈ store weeks × average weekly sales (AWS). Store weeks = average restaurants open × weeks in the fiscal year. This is the natural driver tree; revenue growth is an output.</w:t>
      </w:r>
    </w:p>
    <w:p>
      <w:pPr>
        <w:pStyle w:val="ListBullet"/>
      </w:pPr>
      <w:r>
        <w:t>Comparable restaurant sales growth (6.7% in 1H26) measures restaurants open a full 18 months before the period and splits into traffic and average check (menu price + mix). Sales per store week across the whole system also moves with the age mix of new units and acquired units.</w:t>
      </w:r>
    </w:p>
    <w:p>
      <w:pPr>
        <w:pStyle w:val="ListBullet"/>
      </w:pPr>
      <w:r>
        <w:t>New-unit economics: TXRH guided average capital investment of about $8.9M per Texas Roadhouse opened in 2026 (including a 10× rent factor for leased sites and pre-opening). Compare that with the cash-on-cash return a mature unit earns at a ~16% restaurant margin on ~$9M of annual sales.</w:t>
      </w:r>
    </w:p>
    <w:p>
      <w:pPr>
        <w:pStyle w:val="Heading2"/>
      </w:pPr>
      <w:r>
        <w:t>1.4 The 52/53-week fiscal year</w:t>
      </w:r>
    </w:p>
    <w:p>
      <w:r>
        <w:rPr>
          <w:i w:val="0"/>
        </w:rPr>
        <w:t>TXRH's year ends on the last Tuesday in December, so every five or six years there are 53 weeks. FY24 had 53 weeks: the 10-K says the extra week added $114.7M of revenue (2.1%), about 2 points of store-week growth and roughly 5% of diluted EPS growth. FY30 will have 53 weeks too. Three consequences: (1) FY25 growth is understated and FY24 overstated versus underlying trend; (2) the quarterly exhibit shows 4Q24 with 14 weeks, so 4Q25 growth looks weak; (3) if your terminal year is a 53-week year you must normalise it to 52 weeks before you capitalise it, or you inflate the terminal value by about 1.9% in perpetuity.</w:t>
      </w:r>
    </w:p>
    <w:p>
      <w:pPr>
        <w:pStyle w:val="Heading2"/>
      </w:pPr>
      <w:r>
        <w:t>1.5 Gift cards and working capital seasonality</w:t>
      </w:r>
    </w:p>
    <w:p>
      <w:r>
        <w:rPr>
          <w:i w:val="0"/>
        </w:rPr>
        <w:t>Gift-card deferred revenue ($448.7M at FY25) peaks at the fiscal year end after the holiday campaign and unwinds as cards are redeemed in the first half. That is why 1H26 shows a $143.7M operating cash outflow on deferred revenue and receivables fall by $140M (card sales through third parties are collected in January). The lesson for the model: compare year-end to year-end. Do not annualise half-year working-capital movements, and do not treat the 30 June balance sheet as representative of a year-end balance.</w:t>
      </w:r>
    </w:p>
    <w:p>
      <w:pPr>
        <w:pStyle w:val="Heading2"/>
      </w:pPr>
      <w:r>
        <w:t>1.6 Why the tax rate is ~14%</w:t>
      </w:r>
    </w:p>
    <w:p>
      <w:r>
        <w:rPr>
          <w:i w:val="0"/>
        </w:rPr>
        <w:t>The FICA tip credit (a federal credit for employer social-security taxes paid on tips above the minimum wage) reduced TXRH's FY25 tax by $49.7M, or 10.3 percentage points of pre-tax income. Because the credit scales with tipped labor, not with profit, the effective rate rises if profits grow faster than tipped wages. Decide whether to hold ~14% or drift it up, and use a marginal rate (statutory federal + state) when unlevering and relevering beta and for the tax shield on debt.</w:t>
      </w:r>
    </w:p>
    <w:p>
      <w:pPr>
        <w:pStyle w:val="Heading2"/>
      </w:pPr>
      <w:r>
        <w:t>1.7 Non-controlling interests and other claims</w:t>
      </w:r>
    </w:p>
    <w:p>
      <w:r>
        <w:rPr>
          <w:i w:val="0"/>
        </w:rPr>
        <w:t>TXRH consolidates restaurants in which it owns a majority stake; the minority partners' share ($21.2M on the balance sheet at 30 June 2026; $8.8M of FY25 net income) is a claim on enterprise value. Subtract it in the bridge from EV to equity value, and forecast NCI income so EPS is attributable to TXRH shareholders.</w:t>
      </w:r>
    </w:p>
    <w:p>
      <w:pPr>
        <w:pStyle w:val="Heading2"/>
      </w:pPr>
      <w:r>
        <w:t>1.8 Valuation mechanics you must get right</w:t>
      </w:r>
    </w:p>
    <w:p>
      <w:pPr>
        <w:pStyle w:val="ListBullet"/>
      </w:pPr>
      <w:r>
        <w:rPr>
          <w:b/>
        </w:rPr>
        <w:t xml:space="preserve">Stub period. </w:t>
      </w:r>
      <w:r>
        <w:t>The balance sheet is dated 30 June 2026, so the first cash flow is 2H26 = FY26E UFCF − 1H26 actual UFCF, discounted about 0.25 years (mid-period).</w:t>
      </w:r>
    </w:p>
    <w:p>
      <w:pPr>
        <w:pStyle w:val="ListBullet"/>
      </w:pPr>
      <w:r>
        <w:rPr>
          <w:b/>
        </w:rPr>
        <w:t xml:space="preserve">Mid-period discounting. </w:t>
      </w:r>
      <w:r>
        <w:t>Cash arrives through the year, so discount each year's UFCF at the midpoint of its period. The terminal value is discounted from the end of the terminal year.</w:t>
      </w:r>
    </w:p>
    <w:p>
      <w:pPr>
        <w:pStyle w:val="ListBullet"/>
      </w:pPr>
      <w:r>
        <w:rPr>
          <w:b/>
        </w:rPr>
        <w:t xml:space="preserve">Roll-forward. </w:t>
      </w:r>
      <w:r>
        <w:t>Value at 30 June 2026 grows at the cost of equity to 9 October 2026, less the dividend paid in between.</w:t>
      </w:r>
    </w:p>
    <w:p>
      <w:pPr>
        <w:pStyle w:val="ListBullet"/>
      </w:pPr>
      <w:r>
        <w:rPr>
          <w:b/>
        </w:rPr>
        <w:t xml:space="preserve">WACC. </w:t>
      </w:r>
      <w:r>
        <w:t>CAPM cost of equity = risk-free rate + β × ERP. Pair the ERP with the risk-free rate it was estimated against (for example, an implied ERP measured over the 10-year yield). Unlever peer betas (Hamada), take the median and relever at TXRH's target capital structure.</w:t>
      </w:r>
    </w:p>
    <w:p>
      <w:pPr>
        <w:pStyle w:val="ListBullet"/>
      </w:pPr>
      <w:r>
        <w:rPr>
          <w:b/>
        </w:rPr>
        <w:t xml:space="preserve">Terminal value cross-check. </w:t>
      </w:r>
      <w:r>
        <w:t>A Gordon-growth TV implies an exit multiple, and an exit-multiple TV implies a perpetual growth rate. If the two disagree badly, one of your inputs is inconsistent; say which and why.</w:t>
      </w:r>
    </w:p>
    <w:p>
      <w:pPr>
        <w:pStyle w:val="ListBullet"/>
      </w:pPr>
      <w:r>
        <w:rPr>
          <w:b/>
        </w:rPr>
        <w:t xml:space="preserve">Reverse DCF. </w:t>
      </w:r>
      <w:r>
        <w:t>Find the growth, margin or multiple that makes the DCF equal today's price. That is the clearest way to state what the market is pricing in.</w:t>
      </w:r>
    </w:p>
    <w:p>
      <w:pPr>
        <w:pStyle w:val="Heading1"/>
      </w:pPr>
      <w:r>
        <w:t>2. Modeling walkthrough (step by step)</w:t>
      </w:r>
    </w:p>
    <w:p>
      <w:pPr>
        <w:pStyle w:val="ListNumber"/>
      </w:pPr>
      <w:r>
        <w:t>Read the Cover tab, then check that every historical tie on the Checks tab is OK before you change anything. Note the period-end and weeks rows on every tab.</w:t>
      </w:r>
    </w:p>
    <w:p>
      <w:pPr>
        <w:pStyle w:val="ListNumber"/>
      </w:pPr>
      <w:r>
        <w:t>Practice tab (student template): work the ten warm-up drills first. Each gives instant Correct / Not yet feedback and uses only the filed history and generic mechanics.</w:t>
      </w:r>
    </w:p>
    <w:p>
      <w:pPr>
        <w:pStyle w:val="ListNumber"/>
      </w:pPr>
      <w:r>
        <w:t>Inputs tab: for each driver, look at the four-year history next to the forecast cells. Start from management's 2026 outlook (store weeks +5–6%, commodity inflation ~5%, labor inflation 3–4%, tax ~14%, capex ~$400M) and write a one-line rationale or source next to every value.</w:t>
      </w:r>
    </w:p>
    <w:p>
      <w:pPr>
        <w:pStyle w:val="ListNumber"/>
      </w:pPr>
      <w:r>
        <w:t>Operating build: roll restaurants forward (beginning + openings + acquisitions = ending), compute average restaurants and store weeks (watch FY30's 53 weeks), then sales per store week. Restaurant sales = store weeks × sales per store week. Cross-check FY26E store-week growth against the 5–6% guidance.</w:t>
      </w:r>
    </w:p>
    <w:p>
      <w:pPr>
        <w:pStyle w:val="ListNumber"/>
      </w:pPr>
      <w:r>
        <w:t>Capex: new-restaurant capex = openings × cost per opening (anchor on the 10-K's ~$8.9M all-in investment, remembering that figure includes capitalised rent and pre-opening that are not cash capex); refurbishment as a % of sales; Support Center separately. FY26E total should sit close to ~$400M.</w:t>
      </w:r>
    </w:p>
    <w:p>
      <w:pPr>
        <w:pStyle w:val="ListNumber"/>
      </w:pPr>
      <w:r>
        <w:t>Income statement: cost lines as a % of restaurant sales (food &amp; beverage, labor, rent, other operating), pre-opening per opening, G&amp;A as a % of revenue, D&amp;A from opening PP&amp;E. Check the implied restaurant margin against the history and the 2Q26 run-rate (16.4%). Taxes, NCI, net income, share count and EPS.</w:t>
      </w:r>
    </w:p>
    <w:p>
      <w:pPr>
        <w:pStyle w:val="ListNumber"/>
      </w:pPr>
      <w:r>
        <w:t>Balance sheet: working-capital lines as a % of revenue at year end, PP&amp;E roll-forward (opening + capex + acquisitions-related PP&amp;E − D&amp;A), lease ROU asset and liability per restaurant, goodwill from acquisitions, equity roll-forward (net income − dividends − buybacks + SBC).</w:t>
      </w:r>
    </w:p>
    <w:p>
      <w:pPr>
        <w:pStyle w:val="ListNumber"/>
      </w:pPr>
      <w:r>
        <w:t>Cash flow: derive every working-capital line from balance-sheet movements so the statement balances by construction. Cash before revolver = opening cash + CFO + CFI + other financing; the revolver draws to restore minimum cash and repays from any excess.</w:t>
      </w:r>
    </w:p>
    <w:p>
      <w:pPr>
        <w:pStyle w:val="ListNumber"/>
      </w:pPr>
      <w:r>
        <w:t>Debt tab: interest on opening balances only, so there is no circularity. Confirm the revolver never goes negative or above availability.</w:t>
      </w:r>
    </w:p>
    <w:p>
      <w:pPr>
        <w:pStyle w:val="ListNumber"/>
      </w:pPr>
      <w:r>
        <w:t>Checks: every balance-sheet and cash check must be exactly 0.00 before you value anything.</w:t>
      </w:r>
    </w:p>
    <w:p>
      <w:pPr>
        <w:pStyle w:val="ListNumber"/>
      </w:pPr>
      <w:r>
        <w:t>DCF: UFCF = EBIT × (1 − t) + D&amp;A − capex − acquisitions ± working capital. Build the stub, discount factors and both terminal values. Bridge EV to equity: + cash − debt (incl. finance leases) − NCI; divide by diluted shares; roll forward.</w:t>
      </w:r>
    </w:p>
    <w:p>
      <w:pPr>
        <w:pStyle w:val="ListNumber"/>
      </w:pPr>
      <w:r>
        <w:t>Comps: LTM = FY + YTD − prior YTD for each peer; use diluted shares from the latest cover page and the latest balance sheet for net debt. Note which peers have stale or unusual periods.</w:t>
      </w:r>
    </w:p>
    <w:p>
      <w:pPr>
        <w:pStyle w:val="ListNumber"/>
      </w:pPr>
      <w:r>
        <w:t>Sensitivities and football field. Then write the memo: decide the call before you start writing, not while you write.</w:t>
      </w:r>
    </w:p>
    <w:p>
      <w:pPr>
        <w:pStyle w:val="Heading1"/>
      </w:pPr>
      <w:r>
        <w:t>3. Common mistakes</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3600"/>
        <w:gridCol w:w="5760"/>
      </w:tblGrid>
      <w:tr>
        <w:tc>
          <w:tcPr>
            <w:tcW w:type="dxa" w:w="3600"/>
            <w:shd w:val="clear" w:color="auto" w:fill="1E3A5F"/>
          </w:tcPr>
          <w:p>
            <w:r/>
            <w:r>
              <w:rPr>
                <w:b/>
                <w:color w:val="FFFFFF"/>
                <w:sz w:val="18"/>
              </w:rPr>
              <w:t>Mistake</w:t>
            </w:r>
          </w:p>
        </w:tc>
        <w:tc>
          <w:tcPr>
            <w:tcW w:type="dxa" w:w="5760"/>
            <w:shd w:val="clear" w:color="auto" w:fill="1E3A5F"/>
          </w:tcPr>
          <w:p>
            <w:r/>
            <w:r>
              <w:rPr>
                <w:b/>
                <w:color w:val="FFFFFF"/>
                <w:sz w:val="18"/>
              </w:rPr>
              <w:t>Why it matters / what to do</w:t>
            </w:r>
          </w:p>
        </w:tc>
      </w:tr>
      <w:tr>
        <w:tc>
          <w:tcPr>
            <w:tcW w:type="dxa" w:w="3600"/>
          </w:tcPr>
          <w:p>
            <w:r/>
            <w:r>
              <w:rPr>
                <w:sz w:val="18"/>
              </w:rPr>
              <w:t>Adding operating-lease liabilities to EV while using EBITDA after rent</w:t>
            </w:r>
          </w:p>
        </w:tc>
        <w:tc>
          <w:tcPr>
            <w:tcW w:type="dxa" w:w="5760"/>
          </w:tcPr>
          <w:p>
            <w:r/>
            <w:r>
              <w:rPr>
                <w:sz w:val="18"/>
              </w:rPr>
              <w:t>Double-counts occupancy cost and overstates EV/EBITDA by ~1x. Pick one basis and apply it to TXRH and every peer.</w:t>
            </w:r>
          </w:p>
        </w:tc>
      </w:tr>
      <w:tr>
        <w:tc>
          <w:tcPr>
            <w:tcW w:type="dxa" w:w="3600"/>
          </w:tcPr>
          <w:p>
            <w:r/>
            <w:r>
              <w:rPr>
                <w:sz w:val="18"/>
              </w:rPr>
              <w:t>Ignoring the 53-week year</w:t>
            </w:r>
          </w:p>
        </w:tc>
        <w:tc>
          <w:tcPr>
            <w:tcW w:type="dxa" w:w="5760"/>
          </w:tcPr>
          <w:p>
            <w:r/>
            <w:r>
              <w:rPr>
                <w:sz w:val="18"/>
              </w:rPr>
              <w:t>FY30 has 53 weeks; capitalising it unadjusted inflates the TV ~1.9%. Growth rates around FY24 are also distorted.</w:t>
            </w:r>
          </w:p>
        </w:tc>
      </w:tr>
      <w:tr>
        <w:tc>
          <w:tcPr>
            <w:tcW w:type="dxa" w:w="3600"/>
          </w:tcPr>
          <w:p>
            <w:r/>
            <w:r>
              <w:rPr>
                <w:sz w:val="18"/>
              </w:rPr>
              <w:t>Annualising 1H working capital</w:t>
            </w:r>
          </w:p>
        </w:tc>
        <w:tc>
          <w:tcPr>
            <w:tcW w:type="dxa" w:w="5760"/>
          </w:tcPr>
          <w:p>
            <w:r/>
            <w:r>
              <w:rPr>
                <w:sz w:val="18"/>
              </w:rPr>
              <w:t>Gift-card seasonality makes 1H cash flow look very different from 2H. Use year-end ratios.</w:t>
            </w:r>
          </w:p>
        </w:tc>
      </w:tr>
      <w:tr>
        <w:tc>
          <w:tcPr>
            <w:tcW w:type="dxa" w:w="3600"/>
          </w:tcPr>
          <w:p>
            <w:r/>
            <w:r>
              <w:rPr>
                <w:sz w:val="18"/>
              </w:rPr>
              <w:t>Treating franchise acquisitions as organic growth</w:t>
            </w:r>
          </w:p>
        </w:tc>
        <w:tc>
          <w:tcPr>
            <w:tcW w:type="dxa" w:w="5760"/>
          </w:tcPr>
          <w:p>
            <w:r/>
            <w:r>
              <w:rPr>
                <w:sz w:val="18"/>
              </w:rPr>
              <w:t>Revenue jumps without any change in underlying demand. Separate the units and the cash.</w:t>
            </w:r>
          </w:p>
        </w:tc>
      </w:tr>
      <w:tr>
        <w:tc>
          <w:tcPr>
            <w:tcW w:type="dxa" w:w="3600"/>
          </w:tcPr>
          <w:p>
            <w:r/>
            <w:r>
              <w:rPr>
                <w:sz w:val="18"/>
              </w:rPr>
              <w:t>Hard-coding LTM</w:t>
            </w:r>
          </w:p>
        </w:tc>
        <w:tc>
          <w:tcPr>
            <w:tcW w:type="dxa" w:w="5760"/>
          </w:tcPr>
          <w:p>
            <w:r/>
            <w:r>
              <w:rPr>
                <w:sz w:val="18"/>
              </w:rPr>
              <w:t>LTM must be FY + YTD − prior YTD, as a formula, so it updates and audits.</w:t>
            </w:r>
          </w:p>
        </w:tc>
      </w:tr>
      <w:tr>
        <w:tc>
          <w:tcPr>
            <w:tcW w:type="dxa" w:w="3600"/>
          </w:tcPr>
          <w:p>
            <w:r/>
            <w:r>
              <w:rPr>
                <w:sz w:val="18"/>
              </w:rPr>
              <w:t>Mismatched ERP and risk-free rate</w:t>
            </w:r>
          </w:p>
        </w:tc>
        <w:tc>
          <w:tcPr>
            <w:tcW w:type="dxa" w:w="5760"/>
          </w:tcPr>
          <w:p>
            <w:r/>
            <w:r>
              <w:rPr>
                <w:sz w:val="18"/>
              </w:rPr>
              <w:t>An ERP estimated against the 20-year yield (or a historical average) paired with the 10-year yield mis-states Ke by up to a point.</w:t>
            </w:r>
          </w:p>
        </w:tc>
      </w:tr>
      <w:tr>
        <w:tc>
          <w:tcPr>
            <w:tcW w:type="dxa" w:w="3600"/>
          </w:tcPr>
          <w:p>
            <w:r/>
            <w:r>
              <w:rPr>
                <w:sz w:val="18"/>
              </w:rPr>
              <w:t>No stub period / end-of-year discounting</w:t>
            </w:r>
          </w:p>
        </w:tc>
        <w:tc>
          <w:tcPr>
            <w:tcW w:type="dxa" w:w="5760"/>
          </w:tcPr>
          <w:p>
            <w:r/>
            <w:r>
              <w:rPr>
                <w:sz w:val="18"/>
              </w:rPr>
              <w:t>Discounting FY26E in full from 30 June 2026 double-counts 1H26 cash already on the balance sheet; end-of-year discounting understates value by about half a year of WACC.</w:t>
            </w:r>
          </w:p>
        </w:tc>
      </w:tr>
      <w:tr>
        <w:tc>
          <w:tcPr>
            <w:tcW w:type="dxa" w:w="3600"/>
          </w:tcPr>
          <w:p>
            <w:r/>
            <w:r>
              <w:rPr>
                <w:sz w:val="18"/>
              </w:rPr>
              <w:t>Terminal growth ≥ the risk-free rate or inconsistent with reinvestment</w:t>
            </w:r>
          </w:p>
        </w:tc>
        <w:tc>
          <w:tcPr>
            <w:tcW w:type="dxa" w:w="5760"/>
          </w:tcPr>
          <w:p>
            <w:r/>
            <w:r>
              <w:rPr>
                <w:sz w:val="18"/>
              </w:rPr>
              <w:t>A 3% perpetual growth rate needs ongoing reinvestment; a terminal UFCF that still carries 30+ openings a year of growth capex, or none at all, should be justified.</w:t>
            </w:r>
          </w:p>
        </w:tc>
      </w:tr>
      <w:tr>
        <w:tc>
          <w:tcPr>
            <w:tcW w:type="dxa" w:w="3600"/>
          </w:tcPr>
          <w:p>
            <w:r/>
            <w:r>
              <w:rPr>
                <w:sz w:val="18"/>
              </w:rPr>
              <w:t>Plugging the balance sheet</w:t>
            </w:r>
          </w:p>
        </w:tc>
        <w:tc>
          <w:tcPr>
            <w:tcW w:type="dxa" w:w="5760"/>
          </w:tcPr>
          <w:p>
            <w:r/>
            <w:r>
              <w:rPr>
                <w:sz w:val="18"/>
              </w:rPr>
              <w:t>A cash or equity plug hides errors. The balance sheet should balance because the cash flow statement is built from it.</w:t>
            </w:r>
          </w:p>
        </w:tc>
      </w:tr>
      <w:tr>
        <w:tc>
          <w:tcPr>
            <w:tcW w:type="dxa" w:w="3600"/>
          </w:tcPr>
          <w:p>
            <w:r/>
            <w:r>
              <w:rPr>
                <w:sz w:val="18"/>
              </w:rPr>
              <w:t>Recommendation not tied to numbers</w:t>
            </w:r>
          </w:p>
        </w:tc>
        <w:tc>
          <w:tcPr>
            <w:tcW w:type="dxa" w:w="5760"/>
          </w:tcPr>
          <w:p>
            <w:r/>
            <w:r>
              <w:rPr>
                <w:sz w:val="18"/>
              </w:rPr>
              <w:t>A Buy/Sell without a price target, implied return and what-is-priced-in analysis is an opinion, not a recommendation.</w:t>
            </w:r>
          </w:p>
        </w:tc>
      </w:tr>
    </w:tbl>
    <w:p>
      <w:pPr>
        <w:spacing w:after="40"/>
      </w:pPr>
    </w:p>
    <w:p>
      <w:pPr>
        <w:pStyle w:val="Heading1"/>
      </w:pPr>
      <w:r>
        <w:t>4. Interview questions</w:t>
      </w:r>
    </w:p>
    <w:p>
      <w:r>
        <w:rPr>
          <w:b/>
        </w:rPr>
        <w:t xml:space="preserve">Q1. </w:t>
      </w:r>
      <w:r>
        <w:rPr>
          <w:i w:val="0"/>
        </w:rPr>
        <w:t>Walk me through how TXRH's revenue is built.</w:t>
      </w:r>
    </w:p>
    <w:p>
      <w:pPr>
        <w:ind w:left="432"/>
      </w:pPr>
      <w:r>
        <w:rPr>
          <w:i w:val="0"/>
        </w:rPr>
        <w:t>Store weeks (average company restaurants × weeks in the year) × average weekly sales, plus royalties and franchise fees. Comparable sales (traffic + check) drive AWS for mature units; openings and franchise acquisitions drive store weeks.</w:t>
      </w:r>
    </w:p>
    <w:p>
      <w:r>
        <w:rPr>
          <w:b/>
        </w:rPr>
        <w:t xml:space="preserve">Q2. </w:t>
      </w:r>
      <w:r>
        <w:rPr>
          <w:i w:val="0"/>
        </w:rPr>
        <w:t>Is TXRH's EBITDA before or after rent, and why does it matter?</w:t>
      </w:r>
    </w:p>
    <w:p>
      <w:pPr>
        <w:ind w:left="432"/>
      </w:pPr>
      <w:r>
        <w:rPr>
          <w:i w:val="0"/>
        </w:rPr>
        <w:t>After rent: under ASC 842 operating-lease cost stays in operating expenses. So EV should exclude operating-lease liabilities; to compare with an IFRS company or a lease-adjusted metric, use EV + leases over EBITDAR.</w:t>
      </w:r>
    </w:p>
    <w:p>
      <w:r>
        <w:rPr>
          <w:b/>
        </w:rPr>
        <w:t xml:space="preserve">Q3. </w:t>
      </w:r>
      <w:r>
        <w:rPr>
          <w:i w:val="0"/>
        </w:rPr>
        <w:t>Why is TXRH's rent only ~1.6% of sales?</w:t>
      </w:r>
    </w:p>
    <w:p>
      <w:pPr>
        <w:ind w:left="432"/>
      </w:pPr>
      <w:r>
        <w:rPr>
          <w:i w:val="0"/>
        </w:rPr>
        <w:t>Most leased sites are ground leases: it leases the land and owns the building, so occupancy cost sits partly in depreciation; 158 sites are owned outright.</w:t>
      </w:r>
    </w:p>
    <w:p>
      <w:r>
        <w:rPr>
          <w:b/>
        </w:rPr>
        <w:t xml:space="preserve">Q4. </w:t>
      </w:r>
      <w:r>
        <w:rPr>
          <w:i w:val="0"/>
        </w:rPr>
        <w:t>What happens to the three statements when TXRH buys 20 franchise restaurants for $113M?</w:t>
      </w:r>
    </w:p>
    <w:p>
      <w:pPr>
        <w:ind w:left="432"/>
      </w:pPr>
      <w:r>
        <w:rPr>
          <w:i w:val="0"/>
        </w:rPr>
        <w:t>IS: royalties fall, restaurant sales and costs rise. BS: cash down; PP&amp;E, goodwill and reacquired-franchise-rights intangibles up; lease ROU assets and liabilities assumed. CF: investing outflow.</w:t>
      </w:r>
    </w:p>
    <w:p>
      <w:r>
        <w:rPr>
          <w:b/>
        </w:rPr>
        <w:t xml:space="preserve">Q5. </w:t>
      </w:r>
      <w:r>
        <w:rPr>
          <w:i w:val="0"/>
        </w:rPr>
        <w:t>Why did 1H26 operating cash flow include a large outflow for deferred revenue?</w:t>
      </w:r>
    </w:p>
    <w:p>
      <w:pPr>
        <w:ind w:left="432"/>
      </w:pPr>
      <w:r>
        <w:rPr>
          <w:i w:val="0"/>
        </w:rPr>
        <w:t>Gift cards sold in the holiday season are redeemed in the first half, so the deferred-revenue liability unwinds; receivables from third-party card sellers are collected in January.</w:t>
      </w:r>
    </w:p>
    <w:p>
      <w:r>
        <w:rPr>
          <w:b/>
        </w:rPr>
        <w:t xml:space="preserve">Q6. </w:t>
      </w:r>
      <w:r>
        <w:rPr>
          <w:i w:val="0"/>
        </w:rPr>
        <w:t>How does a 53-week year affect your DCF?</w:t>
      </w:r>
    </w:p>
    <w:p>
      <w:pPr>
        <w:ind w:left="432"/>
      </w:pPr>
      <w:r>
        <w:rPr>
          <w:i w:val="0"/>
        </w:rPr>
        <w:t>It adds roughly 1/52 to that year's sales and cash flow; growth looks higher that year and lower the next. If it is the terminal year, normalise to 52 weeks before applying a multiple or a growth formula.</w:t>
      </w:r>
    </w:p>
    <w:p>
      <w:r>
        <w:rPr>
          <w:b/>
        </w:rPr>
        <w:t xml:space="preserve">Q7. </w:t>
      </w:r>
      <w:r>
        <w:rPr>
          <w:i w:val="0"/>
        </w:rPr>
        <w:t>Why is TXRH's effective tax rate so far below 25%?</w:t>
      </w:r>
    </w:p>
    <w:p>
      <w:pPr>
        <w:ind w:left="432"/>
      </w:pPr>
      <w:r>
        <w:rPr>
          <w:i w:val="0"/>
        </w:rPr>
        <w:t>The FICA tip credit (10.3 points in FY25) plus the work opportunity credit. It scales with tipped labor, so it does not grow one-for-one with profit.</w:t>
      </w:r>
    </w:p>
    <w:p>
      <w:r>
        <w:rPr>
          <w:b/>
        </w:rPr>
        <w:t xml:space="preserve">Q8. </w:t>
      </w:r>
      <w:r>
        <w:rPr>
          <w:i w:val="0"/>
        </w:rPr>
        <w:t>Walk me through unlevering and relevering beta.</w:t>
      </w:r>
    </w:p>
    <w:p>
      <w:pPr>
        <w:ind w:left="432"/>
      </w:pPr>
      <w:r>
        <w:rPr>
          <w:i w:val="0"/>
        </w:rPr>
        <w:t>βu = βL ÷ [1 + (1 − t) × D/E] for each peer using market D/E; take the median; relever at TXRH's target D/E. Using the peer median avoids relying on one noisy regression.</w:t>
      </w:r>
    </w:p>
    <w:p>
      <w:r>
        <w:rPr>
          <w:b/>
        </w:rPr>
        <w:t xml:space="preserve">Q9. </w:t>
      </w:r>
      <w:r>
        <w:rPr>
          <w:i w:val="0"/>
        </w:rPr>
        <w:t>Your Gordon and exit-multiple values differ by 20%. What do you do?</w:t>
      </w:r>
    </w:p>
    <w:p>
      <w:pPr>
        <w:ind w:left="432"/>
      </w:pPr>
      <w:r>
        <w:rPr>
          <w:i w:val="0"/>
        </w:rPr>
        <w:t>Check the implied multiple of the Gordon TV and the implied growth of the exit TV. If the exit multiple implies 4–5% perpetual growth, the multiple reflects today's growth and is too high for a terminal year, or your WACC is too high for the market. Explain which you believe.</w:t>
      </w:r>
    </w:p>
    <w:p>
      <w:r>
        <w:rPr>
          <w:b/>
        </w:rPr>
        <w:t xml:space="preserve">Q10. </w:t>
      </w:r>
      <w:r>
        <w:rPr>
          <w:i w:val="0"/>
        </w:rPr>
        <w:t>What does a 50 bp move in restaurant margin do to EPS?</w:t>
      </w:r>
    </w:p>
    <w:p>
      <w:pPr>
        <w:ind w:left="432"/>
      </w:pPr>
      <w:r>
        <w:rPr>
          <w:i w:val="0"/>
        </w:rPr>
        <w:t>On FY26E restaurant sales of about $6.5bn, 50 bp is about $33M pre-tax, or roughly $0.43 per share after a ~14% tax rate on ~66M shares.</w:t>
      </w:r>
    </w:p>
    <w:p>
      <w:r>
        <w:rPr>
          <w:b/>
        </w:rPr>
        <w:t xml:space="preserve">Q11. </w:t>
      </w:r>
      <w:r>
        <w:rPr>
          <w:i w:val="0"/>
        </w:rPr>
        <w:t>Why include a stub period?</w:t>
      </w:r>
    </w:p>
    <w:p>
      <w:pPr>
        <w:ind w:left="432"/>
      </w:pPr>
      <w:r>
        <w:rPr>
          <w:i w:val="0"/>
        </w:rPr>
        <w:t>The valuation is anchored at 30 June 2026; 1H26 cash flow is already in the balance-sheet cash. Only 2H26 cash flow is still to come, and it should be discounted about a quarter of a year.</w:t>
      </w:r>
    </w:p>
    <w:p>
      <w:r>
        <w:rPr>
          <w:b/>
        </w:rPr>
        <w:t xml:space="preserve">Q12. </w:t>
      </w:r>
      <w:r>
        <w:rPr>
          <w:i w:val="0"/>
        </w:rPr>
        <w:t>What are the main risks to a restaurant margin recovery?</w:t>
      </w:r>
    </w:p>
    <w:p>
      <w:pPr>
        <w:ind w:left="432"/>
      </w:pPr>
      <w:r>
        <w:rPr>
          <w:i w:val="0"/>
        </w:rPr>
        <w:t>Beef prices (the largest commodity exposure), wage inflation above menu pricing, traffic softness (August 2026 industry traffic down 2.4%), and sales deleverage on fixed costs.</w:t>
      </w:r>
    </w:p>
    <w:p>
      <w:r>
        <w:rPr>
          <w:b/>
        </w:rPr>
        <w:t xml:space="preserve">Q13. </w:t>
      </w:r>
      <w:r>
        <w:rPr>
          <w:i w:val="0"/>
        </w:rPr>
        <w:t>How would you value TXRH relative to peers?</w:t>
      </w:r>
    </w:p>
    <w:p>
      <w:pPr>
        <w:ind w:left="432"/>
      </w:pPr>
      <w:r>
        <w:rPr>
          <w:i w:val="0"/>
        </w:rPr>
        <w:t>EV/EBITDA on an after-rent basis and P/E on LTM and forward numbers. Adjust for growth (unit growth, comps), returns and balance-sheet strength. TXRH typically trades at a premium; your job is to say whether the premium is earned.</w:t>
      </w:r>
    </w:p>
    <w:p>
      <w:r>
        <w:rPr>
          <w:b/>
        </w:rPr>
        <w:t xml:space="preserve">Q14. </w:t>
      </w:r>
      <w:r>
        <w:rPr>
          <w:i w:val="0"/>
        </w:rPr>
        <w:t>How do you think about the minimum cash balance and the revolver?</w:t>
      </w:r>
    </w:p>
    <w:p>
      <w:pPr>
        <w:ind w:left="432"/>
      </w:pPr>
      <w:r>
        <w:rPr>
          <w:i w:val="0"/>
        </w:rPr>
        <w:t>TXRH holds cash through the year to absorb the gift-card cycle and drew $50M in 1H26. A minimum cash floor with a revolver that draws and sweeps keeps the forecast realistic and avoids circular interest by charging interest on opening balances.</w:t>
      </w:r>
    </w:p>
    <w:p>
      <w:pPr>
        <w:pStyle w:val="Heading1"/>
      </w:pPr>
      <w:r>
        <w:t>5. Where to find things in the filings</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4031"/>
        <w:gridCol w:w="5328"/>
      </w:tblGrid>
      <w:tr>
        <w:tc>
          <w:tcPr>
            <w:tcW w:type="dxa" w:w="4032"/>
            <w:shd w:val="clear" w:color="auto" w:fill="1E3A5F"/>
          </w:tcPr>
          <w:p>
            <w:r/>
            <w:r>
              <w:rPr>
                <w:b/>
                <w:color w:val="FFFFFF"/>
                <w:sz w:val="18"/>
              </w:rPr>
              <w:t>What</w:t>
            </w:r>
          </w:p>
        </w:tc>
        <w:tc>
          <w:tcPr>
            <w:tcW w:type="dxa" w:w="5328"/>
            <w:shd w:val="clear" w:color="auto" w:fill="1E3A5F"/>
          </w:tcPr>
          <w:p>
            <w:r/>
            <w:r>
              <w:rPr>
                <w:b/>
                <w:color w:val="FFFFFF"/>
                <w:sz w:val="18"/>
              </w:rPr>
              <w:t>Where</w:t>
            </w:r>
          </w:p>
        </w:tc>
      </w:tr>
      <w:tr>
        <w:tc>
          <w:tcPr>
            <w:tcW w:type="dxa" w:w="4032"/>
          </w:tcPr>
          <w:p>
            <w:r/>
            <w:r>
              <w:rPr>
                <w:sz w:val="18"/>
              </w:rPr>
              <w:t>Restaurant counts by concept, franchise detail</w:t>
            </w:r>
          </w:p>
        </w:tc>
        <w:tc>
          <w:tcPr>
            <w:tcW w:type="dxa" w:w="5328"/>
          </w:tcPr>
          <w:p>
            <w:r/>
            <w:r>
              <w:rPr>
                <w:sz w:val="18"/>
              </w:rPr>
              <w:t>10-K FY25 Item 1 and Item 2 (Properties: owned vs leased sites)</w:t>
            </w:r>
          </w:p>
        </w:tc>
      </w:tr>
      <w:tr>
        <w:tc>
          <w:tcPr>
            <w:tcW w:type="dxa" w:w="4032"/>
          </w:tcPr>
          <w:p>
            <w:r/>
            <w:r>
              <w:rPr>
                <w:sz w:val="18"/>
              </w:rPr>
              <w:t>Store weeks, AWS, comparable sales, restaurant margin</w:t>
            </w:r>
          </w:p>
        </w:tc>
        <w:tc>
          <w:tcPr>
            <w:tcW w:type="dxa" w:w="5328"/>
          </w:tcPr>
          <w:p>
            <w:r/>
            <w:r>
              <w:rPr>
                <w:sz w:val="18"/>
              </w:rPr>
              <w:t>10-K FY25 Item 7 (MD&amp;A); 2Q26 earnings release (8-K, 6 Aug 2026)</w:t>
            </w:r>
          </w:p>
        </w:tc>
      </w:tr>
      <w:tr>
        <w:tc>
          <w:tcPr>
            <w:tcW w:type="dxa" w:w="4032"/>
          </w:tcPr>
          <w:p>
            <w:r/>
            <w:r>
              <w:rPr>
                <w:sz w:val="18"/>
              </w:rPr>
              <w:t>Lease cost, maturities, discount rate and term</w:t>
            </w:r>
          </w:p>
        </w:tc>
        <w:tc>
          <w:tcPr>
            <w:tcW w:type="dxa" w:w="5328"/>
          </w:tcPr>
          <w:p>
            <w:r/>
            <w:r>
              <w:rPr>
                <w:sz w:val="18"/>
              </w:rPr>
              <w:t>10-K FY25 Notes: Leases</w:t>
            </w:r>
          </w:p>
        </w:tc>
      </w:tr>
      <w:tr>
        <w:tc>
          <w:tcPr>
            <w:tcW w:type="dxa" w:w="4032"/>
          </w:tcPr>
          <w:p>
            <w:r/>
            <w:r>
              <w:rPr>
                <w:sz w:val="18"/>
              </w:rPr>
              <w:t>Tax rate reconciliation (FICA tip credit)</w:t>
            </w:r>
          </w:p>
        </w:tc>
        <w:tc>
          <w:tcPr>
            <w:tcW w:type="dxa" w:w="5328"/>
          </w:tcPr>
          <w:p>
            <w:r/>
            <w:r>
              <w:rPr>
                <w:sz w:val="18"/>
              </w:rPr>
              <w:t>10-K FY25 Notes: Income Taxes</w:t>
            </w:r>
          </w:p>
        </w:tc>
      </w:tr>
      <w:tr>
        <w:tc>
          <w:tcPr>
            <w:tcW w:type="dxa" w:w="4032"/>
          </w:tcPr>
          <w:p>
            <w:r/>
            <w:r>
              <w:rPr>
                <w:sz w:val="18"/>
              </w:rPr>
              <w:t>Franchise acquisitions and purchase-price allocation</w:t>
            </w:r>
          </w:p>
        </w:tc>
        <w:tc>
          <w:tcPr>
            <w:tcW w:type="dxa" w:w="5328"/>
          </w:tcPr>
          <w:p>
            <w:r/>
            <w:r>
              <w:rPr>
                <w:sz w:val="18"/>
              </w:rPr>
              <w:t>10-K FY25 Notes: Acquisitions; 10-Q 2Q26</w:t>
            </w:r>
          </w:p>
        </w:tc>
      </w:tr>
      <w:tr>
        <w:tc>
          <w:tcPr>
            <w:tcW w:type="dxa" w:w="4032"/>
          </w:tcPr>
          <w:p>
            <w:r/>
            <w:r>
              <w:rPr>
                <w:sz w:val="18"/>
              </w:rPr>
              <w:t>Revolver terms</w:t>
            </w:r>
          </w:p>
        </w:tc>
        <w:tc>
          <w:tcPr>
            <w:tcW w:type="dxa" w:w="5328"/>
          </w:tcPr>
          <w:p>
            <w:r/>
            <w:r>
              <w:rPr>
                <w:sz w:val="18"/>
              </w:rPr>
              <w:t>10-K FY25 Notes: Long-term Debt; 10-Q 2Q26</w:t>
            </w:r>
          </w:p>
        </w:tc>
      </w:tr>
      <w:tr>
        <w:tc>
          <w:tcPr>
            <w:tcW w:type="dxa" w:w="4032"/>
          </w:tcPr>
          <w:p>
            <w:r/>
            <w:r>
              <w:rPr>
                <w:sz w:val="18"/>
              </w:rPr>
              <w:t>2026 outlook</w:t>
            </w:r>
          </w:p>
        </w:tc>
        <w:tc>
          <w:tcPr>
            <w:tcW w:type="dxa" w:w="5328"/>
          </w:tcPr>
          <w:p>
            <w:r/>
            <w:r>
              <w:rPr>
                <w:sz w:val="18"/>
              </w:rPr>
              <w:t>2Q26 earnings release, "2026 Outlook"</w:t>
            </w:r>
          </w:p>
        </w:tc>
      </w:tr>
    </w:tbl>
    <w:p>
      <w:pPr>
        <w:spacing w:after="40"/>
      </w:pP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B6475"/>
        <w:sz w:val="16"/>
      </w:rPr>
      <w:t xml:space="preserve">IC Simulator · Texas Roadhouse (TXRH) · Advanced (take-home 1–2 days) · Practice use only · Page </w:t>
    </w:r>
    <w:r>
      <w:rPr>
        <w:sz w:val="16"/>
      </w:rPr>
      <w:fldChar w:fldCharType="begin"/>
      <w:instrText xml:space="preserve">PAGE</w:instrText>
      <w:fldChar w:fldCharType="end"/>
    </w:r>
    <w:r>
      <w:rPr>
        <w:color w:val="5B6475"/>
        <w:sz w:val="16"/>
      </w:rPr>
      <w:t xml:space="preserve"> of </w:t>
    </w:r>
    <w:r>
      <w:rPr>
        <w:sz w:val="16"/>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Georgia" w:hAnsi="Georgia" w:eastAsia="Georgia"/>
      <w:b/>
      <w:bCs/>
      <w:color w:val="1E3A5F"/>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Georgia" w:hAnsi="Georgia" w:eastAsia="Georgia"/>
      <w:b/>
      <w:bCs/>
      <w:color w:val="1E3A5F"/>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Georgia" w:hAnsi="Georgia" w:eastAsia="Georgia"/>
      <w:b/>
      <w:bCs/>
      <w:color w:val="1E3A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Theme="majorHAnsi" w:eastAsiaTheme="majorEastAsia" w:hAnsiTheme="majorHAnsi" w:cstheme="majorBidi" w:ascii="Georgia" w:hAnsi="Georgia" w:eastAsia="Georgia"/>
      <w:b/>
      <w:color w:val="1E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