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Tyler Technologies: SaaS compounder or AI casualty?</w:t>
      </w:r>
    </w:p>
    <w:p>
      <w:r>
        <w:rPr>
          <w:rFonts w:ascii="Georgia" w:hAnsi="Georgia"/>
          <w:color w:val="5B6475"/>
          <w:sz w:val="26"/>
        </w:rPr>
        <w:t>Investment banking case · writing assignment and modeling assignment</w:t>
      </w:r>
    </w:p>
    <w:tbl>
      <w:tblPr>
        <w:tblW w:type="auto" w:w="0"/>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592"/>
        <w:gridCol w:w="6768"/>
      </w:tblGrid>
      <w:tr>
        <w:tc>
          <w:tcPr>
            <w:tcW w:type="dxa" w:w="2592"/>
            <w:shd w:val="clear" w:color="auto" w:fill="E4EAF3"/>
          </w:tcPr>
          <w:p>
            <w:r/>
            <w:r>
              <w:rPr>
                <w:b/>
                <w:sz w:val="19"/>
              </w:rPr>
              <w:t>Company</w:t>
            </w:r>
          </w:p>
        </w:tc>
        <w:tc>
          <w:tcPr>
            <w:tcW w:type="dxa" w:w="6768"/>
          </w:tcPr>
          <w:p>
            <w:r/>
            <w:r>
              <w:rPr>
                <w:sz w:val="19"/>
              </w:rPr>
              <w:t>Tyler Technologies, Inc. (NYSE: TYL) · Plano, Texas · calendar fiscal year</w:t>
            </w:r>
          </w:p>
        </w:tc>
      </w:tr>
      <w:tr>
        <w:tc>
          <w:tcPr>
            <w:tcW w:type="dxa" w:w="2592"/>
            <w:shd w:val="clear" w:color="auto" w:fill="E4EAF3"/>
          </w:tcPr>
          <w:p>
            <w:r/>
            <w:r>
              <w:rPr>
                <w:b/>
                <w:sz w:val="19"/>
              </w:rPr>
              <w:t>Case date</w:t>
            </w:r>
          </w:p>
        </w:tc>
        <w:tc>
          <w:tcPr>
            <w:tcW w:type="dxa" w:w="6768"/>
          </w:tcPr>
          <w:p>
            <w:r/>
            <w:r>
              <w:rPr>
                <w:sz w:val="19"/>
              </w:rPr>
              <w:t>Friday 9 October 2026 (market data as of the close). Latest filing: 10-Q for the six months to 30 June 2026.</w:t>
            </w:r>
          </w:p>
        </w:tc>
      </w:tr>
      <w:tr>
        <w:tc>
          <w:tcPr>
            <w:tcW w:type="dxa" w:w="2592"/>
            <w:shd w:val="clear" w:color="auto" w:fill="E4EAF3"/>
          </w:tcPr>
          <w:p>
            <w:r/>
            <w:r>
              <w:rPr>
                <w:b/>
                <w:sz w:val="19"/>
              </w:rPr>
              <w:t>Level</w:t>
            </w:r>
          </w:p>
        </w:tc>
        <w:tc>
          <w:tcPr>
            <w:tcW w:type="dxa" w:w="6768"/>
          </w:tcPr>
          <w:p>
            <w:r/>
            <w:r>
              <w:rPr>
                <w:sz w:val="19"/>
              </w:rPr>
              <w:t>Advanced (take-home, 1–2 days) · uncalibrated</w:t>
            </w:r>
          </w:p>
        </w:tc>
      </w:tr>
      <w:tr>
        <w:tc>
          <w:tcPr>
            <w:tcW w:type="dxa" w:w="2592"/>
            <w:shd w:val="clear" w:color="auto" w:fill="E4EAF3"/>
          </w:tcPr>
          <w:p>
            <w:r/>
            <w:r>
              <w:rPr>
                <w:b/>
                <w:sz w:val="19"/>
              </w:rPr>
              <w:t>Materials</w:t>
            </w:r>
          </w:p>
        </w:tc>
        <w:tc>
          <w:tcPr>
            <w:tcW w:type="dxa" w:w="6768"/>
          </w:tcPr>
          <w:p>
            <w:r/>
            <w:r>
              <w:rPr>
                <w:sz w:val="19"/>
              </w:rPr>
              <w:t>TYL-student-model-template.xlsx; this brief; the study guide; public SEC filings (links in the template Cover and the study guide)</w:t>
            </w:r>
          </w:p>
        </w:tc>
      </w:tr>
    </w:tbl>
    <w:p>
      <w:pPr>
        <w:spacing w:after="40"/>
      </w:pPr>
    </w:p>
    <w:p>
      <w:pPr>
        <w:pStyle w:val="Heading1"/>
      </w:pPr>
      <w:r>
        <w:t>1. Your role and the situation</w:t>
      </w:r>
    </w:p>
    <w:p>
      <w:r>
        <w:rPr>
          <w:i w:val="0"/>
        </w:rPr>
        <w:t>You are an Associate in the Technology group of an investment bank. A growth-at-a-reasonable-price fund that sold Tyler Technologies near its high has asked the coverage team whether it is time to buy it back. At $329.55 (close, 9 October 2026) the shares are 37% below their 52-week high of $524.43, and close to the 52-week low of $270.71. Your Managing Director wants a written view and a model she can defend in front of the client.</w:t>
      </w:r>
    </w:p>
    <w:p>
      <w:pPr>
        <w:pStyle w:val="ListBullet"/>
      </w:pPr>
      <w:r>
        <w:rPr>
          <w:b/>
        </w:rPr>
        <w:t xml:space="preserve">A software sell-off. </w:t>
      </w:r>
      <w:r>
        <w:t>Application-software shares fell sharply in 2026 on fears that AI tools will erode seat-based and workflow software. Tyler fell about 15% on 12 February 2026 after fourth-quarter results and 2026 guidance that implied roughly 8% revenue growth.</w:t>
      </w:r>
    </w:p>
    <w:p>
      <w:pPr>
        <w:pStyle w:val="ListBullet"/>
      </w:pPr>
      <w:r>
        <w:rPr>
          <w:b/>
        </w:rPr>
        <w:t xml:space="preserve">The SaaS transition. </w:t>
      </w:r>
      <w:r>
        <w:t>Tyler is moving its public-sector clients from on-premises licences with annual maintenance to SaaS. SaaS revenue grew 20.6% in FY25 and 22.5% in 1H26, while maintenance revenue fell 4.6%. At its 9 June 2026 Investor Day management set 2030 targets of $3.3–3.4bn of recurring revenue and $1.1–1.2bn of free cash flow.</w:t>
      </w:r>
    </w:p>
    <w:p>
      <w:pPr>
        <w:pStyle w:val="ListBullet"/>
      </w:pPr>
      <w:r>
        <w:rPr>
          <w:b/>
        </w:rPr>
        <w:t xml:space="preserve">A levered buyback. </w:t>
      </w:r>
      <w:r>
        <w:t>In May 2026 Tyler issued $1,437.5M of 0.50% convertible notes due 2031 (conversion price $405.94, with a capped call to $655.77), repurchased $320.7M of stock alongside the deal, and kept buying: $755M of repurchases in 1H26 and a new $1.5bn authorisation on 29 July 2026. Net cash of $558M at FY25 became net debt of $393M at 30 June 2026.</w:t>
      </w:r>
    </w:p>
    <w:p>
      <w:pPr>
        <w:pStyle w:val="ListBullet"/>
      </w:pPr>
      <w:r>
        <w:rPr>
          <w:b/>
        </w:rPr>
        <w:t xml:space="preserve">Rates. </w:t>
      </w:r>
      <w:r>
        <w:t>The Federal Reserve raised its target range to 3.75–4.00% on 16 September 2026; the 10-year Treasury closed at 5.24% on 9 October. A long-duration software stock is sensitive to both.</w:t>
      </w:r>
    </w:p>
    <w:p>
      <w:pPr>
        <w:pStyle w:val="Heading1"/>
      </w:pPr>
      <w:r>
        <w:t>2. Company background</w:t>
      </w:r>
    </w:p>
    <w:p>
      <w:r>
        <w:rPr>
          <w:i w:val="0"/>
        </w:rPr>
        <w:t>Tyler is the largest US software provider dedicated to the public sector: courts and justice, public safety, property tax and appraisal, ERP for local government, schools, and payment processing for state and local agencies (through NIC, acquired in 2021). FY25 revenue was $2,332M, of which 87.1% was recurring (SaaS, transaction-based fees and maintenance).</w:t>
      </w:r>
    </w:p>
    <w:tbl>
      <w:tblPr>
        <w:tblW w:type="auto" w:w="0"/>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592"/>
        <w:gridCol w:w="6768"/>
      </w:tblGrid>
      <w:tr>
        <w:tc>
          <w:tcPr>
            <w:tcW w:type="dxa" w:w="2592"/>
            <w:shd w:val="clear" w:color="auto" w:fill="E4EAF3"/>
          </w:tcPr>
          <w:p>
            <w:r/>
            <w:r>
              <w:rPr>
                <w:b/>
                <w:sz w:val="19"/>
              </w:rPr>
              <w:t>Revenue lines</w:t>
            </w:r>
          </w:p>
        </w:tc>
        <w:tc>
          <w:tcPr>
            <w:tcW w:type="dxa" w:w="6768"/>
          </w:tcPr>
          <w:p>
            <w:r/>
            <w:r>
              <w:rPr>
                <w:sz w:val="19"/>
              </w:rPr>
              <w:t>FY25: SaaS $778M; transaction-based fees $808M (payment processing, e-filing and other volume-based fees, much of it from state enterprise contracts); maintenance $446M; professional services $243M; software licences, hardware and other $58M.</w:t>
            </w:r>
          </w:p>
        </w:tc>
      </w:tr>
      <w:tr>
        <w:tc>
          <w:tcPr>
            <w:tcW w:type="dxa" w:w="2592"/>
            <w:shd w:val="clear" w:color="auto" w:fill="E4EAF3"/>
          </w:tcPr>
          <w:p>
            <w:r/>
            <w:r>
              <w:rPr>
                <w:b/>
                <w:sz w:val="19"/>
              </w:rPr>
              <w:t>Clients and contracts</w:t>
            </w:r>
          </w:p>
        </w:tc>
        <w:tc>
          <w:tcPr>
            <w:tcW w:type="dxa" w:w="6768"/>
          </w:tcPr>
          <w:p>
            <w:r/>
            <w:r>
              <w:rPr>
                <w:sz w:val="19"/>
              </w:rPr>
              <w:t>State and local governments, courts and schools: long sales cycles, procurement rules, multi-year contracts and very low churn. SaaS and maintenance are typically billed annually in advance, which creates deferred revenue.</w:t>
            </w:r>
          </w:p>
        </w:tc>
      </w:tr>
      <w:tr>
        <w:tc>
          <w:tcPr>
            <w:tcW w:type="dxa" w:w="2592"/>
            <w:shd w:val="clear" w:color="auto" w:fill="E4EAF3"/>
          </w:tcPr>
          <w:p>
            <w:r/>
            <w:r>
              <w:rPr>
                <w:b/>
                <w:sz w:val="19"/>
              </w:rPr>
              <w:t>ARR</w:t>
            </w:r>
          </w:p>
        </w:tc>
        <w:tc>
          <w:tcPr>
            <w:tcW w:type="dxa" w:w="6768"/>
          </w:tcPr>
          <w:p>
            <w:r/>
            <w:r>
              <w:rPr>
                <w:sz w:val="19"/>
              </w:rPr>
              <w:t>Tyler reports annualised recurring revenue (ARR) as the current quarter's recurring revenue × 4: $2.24bn at 2Q26. ARR includes transaction-based fees, which depend on volumes, not on contract value.</w:t>
            </w:r>
          </w:p>
        </w:tc>
      </w:tr>
      <w:tr>
        <w:tc>
          <w:tcPr>
            <w:tcW w:type="dxa" w:w="2592"/>
            <w:shd w:val="clear" w:color="auto" w:fill="E4EAF3"/>
          </w:tcPr>
          <w:p>
            <w:r/>
            <w:r>
              <w:rPr>
                <w:b/>
                <w:sz w:val="19"/>
              </w:rPr>
              <w:t>Capital structure at 30 Jun 2026</w:t>
            </w:r>
          </w:p>
        </w:tc>
        <w:tc>
          <w:tcPr>
            <w:tcW w:type="dxa" w:w="6768"/>
          </w:tcPr>
          <w:p>
            <w:r/>
            <w:r>
              <w:rPr>
                <w:sz w:val="19"/>
              </w:rPr>
              <w:t>Cash and investments $1,015M; 2031 convertible notes $1,437.5M principal (carrying value $1,408.7M); undrawn $1.0bn revolver maturing May 2031; the $600M 2026 convertible notes were repaid in March 2026. No dividend. 40,952,274 shares outstanding at 27 July 2026.</w:t>
            </w:r>
          </w:p>
        </w:tc>
      </w:tr>
    </w:tbl>
    <w:p>
      <w:pPr>
        <w:spacing w:after="40"/>
      </w:pPr>
    </w:p>
    <w:p>
      <w:r>
        <w:rPr>
          <w:b/>
        </w:rPr>
        <w:t xml:space="preserve">Exhibit 1. </w:t>
      </w:r>
      <w:r>
        <w:rPr>
          <w:i w:val="0"/>
        </w:rPr>
        <w:t>History (calendar years):</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3168"/>
        <w:gridCol w:w="1152"/>
        <w:gridCol w:w="1152"/>
        <w:gridCol w:w="1152"/>
        <w:gridCol w:w="1152"/>
        <w:gridCol w:w="1152"/>
        <w:gridCol w:w="1152"/>
      </w:tblGrid>
      <w:tr>
        <w:tc>
          <w:tcPr>
            <w:tcW w:type="dxa" w:w="3168"/>
            <w:shd w:val="clear" w:color="auto" w:fill="1E3A5F"/>
          </w:tcPr>
          <w:p>
            <w:r/>
            <w:r>
              <w:rPr>
                <w:b/>
                <w:color w:val="FFFFFF"/>
                <w:sz w:val="18"/>
              </w:rPr>
            </w:r>
          </w:p>
        </w:tc>
        <w:tc>
          <w:tcPr>
            <w:tcW w:type="dxa" w:w="1152"/>
            <w:shd w:val="clear" w:color="auto" w:fill="1E3A5F"/>
          </w:tcPr>
          <w:p>
            <w:r/>
            <w:r>
              <w:rPr>
                <w:b/>
                <w:color w:val="FFFFFF"/>
                <w:sz w:val="18"/>
              </w:rPr>
              <w:t>FY22A</w:t>
            </w:r>
          </w:p>
        </w:tc>
        <w:tc>
          <w:tcPr>
            <w:tcW w:type="dxa" w:w="1152"/>
            <w:shd w:val="clear" w:color="auto" w:fill="1E3A5F"/>
          </w:tcPr>
          <w:p>
            <w:r/>
            <w:r>
              <w:rPr>
                <w:b/>
                <w:color w:val="FFFFFF"/>
                <w:sz w:val="18"/>
              </w:rPr>
              <w:t>FY23A</w:t>
            </w:r>
          </w:p>
        </w:tc>
        <w:tc>
          <w:tcPr>
            <w:tcW w:type="dxa" w:w="1152"/>
            <w:shd w:val="clear" w:color="auto" w:fill="1E3A5F"/>
          </w:tcPr>
          <w:p>
            <w:r/>
            <w:r>
              <w:rPr>
                <w:b/>
                <w:color w:val="FFFFFF"/>
                <w:sz w:val="18"/>
              </w:rPr>
              <w:t>FY24A</w:t>
            </w:r>
          </w:p>
        </w:tc>
        <w:tc>
          <w:tcPr>
            <w:tcW w:type="dxa" w:w="1152"/>
            <w:shd w:val="clear" w:color="auto" w:fill="1E3A5F"/>
          </w:tcPr>
          <w:p>
            <w:r/>
            <w:r>
              <w:rPr>
                <w:b/>
                <w:color w:val="FFFFFF"/>
                <w:sz w:val="18"/>
              </w:rPr>
              <w:t>FY25A</w:t>
            </w:r>
          </w:p>
        </w:tc>
        <w:tc>
          <w:tcPr>
            <w:tcW w:type="dxa" w:w="1152"/>
            <w:shd w:val="clear" w:color="auto" w:fill="1E3A5F"/>
          </w:tcPr>
          <w:p>
            <w:r/>
            <w:r>
              <w:rPr>
                <w:b/>
                <w:color w:val="FFFFFF"/>
                <w:sz w:val="18"/>
              </w:rPr>
              <w:t>6M25A</w:t>
            </w:r>
          </w:p>
        </w:tc>
        <w:tc>
          <w:tcPr>
            <w:tcW w:type="dxa" w:w="1152"/>
            <w:shd w:val="clear" w:color="auto" w:fill="1E3A5F"/>
          </w:tcPr>
          <w:p>
            <w:r/>
            <w:r>
              <w:rPr>
                <w:b/>
                <w:color w:val="FFFFFF"/>
                <w:sz w:val="18"/>
              </w:rPr>
              <w:t>6M26A</w:t>
            </w:r>
          </w:p>
        </w:tc>
      </w:tr>
      <w:tr>
        <w:tc>
          <w:tcPr>
            <w:tcW w:type="dxa" w:w="3168"/>
          </w:tcPr>
          <w:p>
            <w:r/>
            <w:r>
              <w:rPr>
                <w:sz w:val="18"/>
              </w:rPr>
              <w:t>Revenue ($M)</w:t>
            </w:r>
          </w:p>
        </w:tc>
        <w:tc>
          <w:tcPr>
            <w:tcW w:type="dxa" w:w="1152"/>
          </w:tcPr>
          <w:p>
            <w:pPr>
              <w:jc w:val="right"/>
            </w:pPr>
            <w:r/>
            <w:r>
              <w:rPr>
                <w:sz w:val="18"/>
              </w:rPr>
              <w:t>1,850.2</w:t>
            </w:r>
          </w:p>
        </w:tc>
        <w:tc>
          <w:tcPr>
            <w:tcW w:type="dxa" w:w="1152"/>
          </w:tcPr>
          <w:p>
            <w:pPr>
              <w:jc w:val="right"/>
            </w:pPr>
            <w:r/>
            <w:r>
              <w:rPr>
                <w:sz w:val="18"/>
              </w:rPr>
              <w:t>1,951.8</w:t>
            </w:r>
          </w:p>
        </w:tc>
        <w:tc>
          <w:tcPr>
            <w:tcW w:type="dxa" w:w="1152"/>
          </w:tcPr>
          <w:p>
            <w:pPr>
              <w:jc w:val="right"/>
            </w:pPr>
            <w:r/>
            <w:r>
              <w:rPr>
                <w:sz w:val="18"/>
              </w:rPr>
              <w:t>2,137.8</w:t>
            </w:r>
          </w:p>
        </w:tc>
        <w:tc>
          <w:tcPr>
            <w:tcW w:type="dxa" w:w="1152"/>
          </w:tcPr>
          <w:p>
            <w:pPr>
              <w:jc w:val="right"/>
            </w:pPr>
            <w:r/>
            <w:r>
              <w:rPr>
                <w:sz w:val="18"/>
              </w:rPr>
              <w:t>2,332.3</w:t>
            </w:r>
          </w:p>
        </w:tc>
        <w:tc>
          <w:tcPr>
            <w:tcW w:type="dxa" w:w="1152"/>
          </w:tcPr>
          <w:p>
            <w:pPr>
              <w:jc w:val="right"/>
            </w:pPr>
            <w:r/>
            <w:r>
              <w:rPr>
                <w:sz w:val="18"/>
              </w:rPr>
              <w:t>1,161.3</w:t>
            </w:r>
          </w:p>
        </w:tc>
        <w:tc>
          <w:tcPr>
            <w:tcW w:type="dxa" w:w="1152"/>
          </w:tcPr>
          <w:p>
            <w:pPr>
              <w:jc w:val="right"/>
            </w:pPr>
            <w:r/>
            <w:r>
              <w:rPr>
                <w:sz w:val="18"/>
              </w:rPr>
              <w:t>1,258.6</w:t>
            </w:r>
          </w:p>
        </w:tc>
      </w:tr>
      <w:tr>
        <w:tc>
          <w:tcPr>
            <w:tcW w:type="dxa" w:w="3168"/>
          </w:tcPr>
          <w:p>
            <w:r/>
            <w:r>
              <w:rPr>
                <w:sz w:val="18"/>
              </w:rPr>
              <w:t xml:space="preserve">  growth</w:t>
            </w:r>
          </w:p>
        </w:tc>
        <w:tc>
          <w:tcPr>
            <w:tcW w:type="dxa" w:w="1152"/>
          </w:tcPr>
          <w:p>
            <w:pPr>
              <w:jc w:val="right"/>
            </w:pPr>
            <w:r/>
            <w:r>
              <w:rPr>
                <w:sz w:val="18"/>
              </w:rPr>
              <w:t>—</w:t>
            </w:r>
          </w:p>
        </w:tc>
        <w:tc>
          <w:tcPr>
            <w:tcW w:type="dxa" w:w="1152"/>
          </w:tcPr>
          <w:p>
            <w:pPr>
              <w:jc w:val="right"/>
            </w:pPr>
            <w:r/>
            <w:r>
              <w:rPr>
                <w:sz w:val="18"/>
              </w:rPr>
              <w:t>5.5%</w:t>
            </w:r>
          </w:p>
        </w:tc>
        <w:tc>
          <w:tcPr>
            <w:tcW w:type="dxa" w:w="1152"/>
          </w:tcPr>
          <w:p>
            <w:pPr>
              <w:jc w:val="right"/>
            </w:pPr>
            <w:r/>
            <w:r>
              <w:rPr>
                <w:sz w:val="18"/>
              </w:rPr>
              <w:t>9.5%</w:t>
            </w:r>
          </w:p>
        </w:tc>
        <w:tc>
          <w:tcPr>
            <w:tcW w:type="dxa" w:w="1152"/>
          </w:tcPr>
          <w:p>
            <w:pPr>
              <w:jc w:val="right"/>
            </w:pPr>
            <w:r/>
            <w:r>
              <w:rPr>
                <w:sz w:val="18"/>
              </w:rPr>
              <w:t>9.1%</w:t>
            </w:r>
          </w:p>
        </w:tc>
        <w:tc>
          <w:tcPr>
            <w:tcW w:type="dxa" w:w="1152"/>
          </w:tcPr>
          <w:p>
            <w:pPr>
              <w:jc w:val="right"/>
            </w:pPr>
            <w:r/>
            <w:r>
              <w:rPr>
                <w:sz w:val="18"/>
              </w:rPr>
              <w:t>—</w:t>
            </w:r>
          </w:p>
        </w:tc>
        <w:tc>
          <w:tcPr>
            <w:tcW w:type="dxa" w:w="1152"/>
          </w:tcPr>
          <w:p>
            <w:pPr>
              <w:jc w:val="right"/>
            </w:pPr>
            <w:r/>
            <w:r>
              <w:rPr>
                <w:sz w:val="18"/>
              </w:rPr>
              <w:t>8.4%</w:t>
            </w:r>
          </w:p>
        </w:tc>
      </w:tr>
      <w:tr>
        <w:tc>
          <w:tcPr>
            <w:tcW w:type="dxa" w:w="3168"/>
          </w:tcPr>
          <w:p>
            <w:r/>
            <w:r>
              <w:rPr>
                <w:sz w:val="18"/>
              </w:rPr>
              <w:t>SaaS revenue ($M)</w:t>
            </w:r>
          </w:p>
        </w:tc>
        <w:tc>
          <w:tcPr>
            <w:tcW w:type="dxa" w:w="1152"/>
          </w:tcPr>
          <w:p>
            <w:pPr>
              <w:jc w:val="right"/>
            </w:pPr>
            <w:r/>
            <w:r>
              <w:rPr>
                <w:sz w:val="18"/>
              </w:rPr>
              <w:t>428.5</w:t>
            </w:r>
          </w:p>
        </w:tc>
        <w:tc>
          <w:tcPr>
            <w:tcW w:type="dxa" w:w="1152"/>
          </w:tcPr>
          <w:p>
            <w:pPr>
              <w:jc w:val="right"/>
            </w:pPr>
            <w:r/>
            <w:r>
              <w:rPr>
                <w:sz w:val="18"/>
              </w:rPr>
              <w:t>528.0</w:t>
            </w:r>
          </w:p>
        </w:tc>
        <w:tc>
          <w:tcPr>
            <w:tcW w:type="dxa" w:w="1152"/>
          </w:tcPr>
          <w:p>
            <w:pPr>
              <w:jc w:val="right"/>
            </w:pPr>
            <w:r/>
            <w:r>
              <w:rPr>
                <w:sz w:val="18"/>
              </w:rPr>
              <w:t>644.8</w:t>
            </w:r>
          </w:p>
        </w:tc>
        <w:tc>
          <w:tcPr>
            <w:tcW w:type="dxa" w:w="1152"/>
          </w:tcPr>
          <w:p>
            <w:pPr>
              <w:jc w:val="right"/>
            </w:pPr>
            <w:r/>
            <w:r>
              <w:rPr>
                <w:sz w:val="18"/>
              </w:rPr>
              <w:t>777.8</w:t>
            </w:r>
          </w:p>
        </w:tc>
        <w:tc>
          <w:tcPr>
            <w:tcW w:type="dxa" w:w="1152"/>
          </w:tcPr>
          <w:p>
            <w:pPr>
              <w:jc w:val="right"/>
            </w:pPr>
            <w:r/>
            <w:r>
              <w:rPr>
                <w:sz w:val="18"/>
              </w:rPr>
              <w:t>369.7</w:t>
            </w:r>
          </w:p>
        </w:tc>
        <w:tc>
          <w:tcPr>
            <w:tcW w:type="dxa" w:w="1152"/>
          </w:tcPr>
          <w:p>
            <w:pPr>
              <w:jc w:val="right"/>
            </w:pPr>
            <w:r/>
            <w:r>
              <w:rPr>
                <w:sz w:val="18"/>
              </w:rPr>
              <w:t>453.0</w:t>
            </w:r>
          </w:p>
        </w:tc>
      </w:tr>
      <w:tr>
        <w:tc>
          <w:tcPr>
            <w:tcW w:type="dxa" w:w="3168"/>
          </w:tcPr>
          <w:p>
            <w:r/>
            <w:r>
              <w:rPr>
                <w:sz w:val="18"/>
              </w:rPr>
              <w:t>Recurring share of revenue</w:t>
            </w:r>
          </w:p>
        </w:tc>
        <w:tc>
          <w:tcPr>
            <w:tcW w:type="dxa" w:w="1152"/>
          </w:tcPr>
          <w:p>
            <w:pPr>
              <w:jc w:val="right"/>
            </w:pPr>
            <w:r/>
            <w:r>
              <w:rPr>
                <w:sz w:val="18"/>
              </w:rPr>
              <w:t>80.0%</w:t>
            </w:r>
          </w:p>
        </w:tc>
        <w:tc>
          <w:tcPr>
            <w:tcW w:type="dxa" w:w="1152"/>
          </w:tcPr>
          <w:p>
            <w:pPr>
              <w:jc w:val="right"/>
            </w:pPr>
            <w:r/>
            <w:r>
              <w:rPr>
                <w:sz w:val="18"/>
              </w:rPr>
              <w:t>83.3%</w:t>
            </w:r>
          </w:p>
        </w:tc>
        <w:tc>
          <w:tcPr>
            <w:tcW w:type="dxa" w:w="1152"/>
          </w:tcPr>
          <w:p>
            <w:pPr>
              <w:jc w:val="right"/>
            </w:pPr>
            <w:r/>
            <w:r>
              <w:rPr>
                <w:sz w:val="18"/>
              </w:rPr>
              <w:t>84.5%</w:t>
            </w:r>
          </w:p>
        </w:tc>
        <w:tc>
          <w:tcPr>
            <w:tcW w:type="dxa" w:w="1152"/>
          </w:tcPr>
          <w:p>
            <w:pPr>
              <w:jc w:val="right"/>
            </w:pPr>
            <w:r/>
            <w:r>
              <w:rPr>
                <w:sz w:val="18"/>
              </w:rPr>
              <w:t>87.1%</w:t>
            </w:r>
          </w:p>
        </w:tc>
        <w:tc>
          <w:tcPr>
            <w:tcW w:type="dxa" w:w="1152"/>
          </w:tcPr>
          <w:p>
            <w:pPr>
              <w:jc w:val="right"/>
            </w:pPr>
            <w:r/>
            <w:r>
              <w:rPr>
                <w:sz w:val="18"/>
              </w:rPr>
              <w:t>86.5%</w:t>
            </w:r>
          </w:p>
        </w:tc>
        <w:tc>
          <w:tcPr>
            <w:tcW w:type="dxa" w:w="1152"/>
          </w:tcPr>
          <w:p>
            <w:pPr>
              <w:jc w:val="right"/>
            </w:pPr>
            <w:r/>
            <w:r>
              <w:rPr>
                <w:sz w:val="18"/>
              </w:rPr>
              <w:t>87.3%</w:t>
            </w:r>
          </w:p>
        </w:tc>
      </w:tr>
      <w:tr>
        <w:tc>
          <w:tcPr>
            <w:tcW w:type="dxa" w:w="3168"/>
          </w:tcPr>
          <w:p>
            <w:r/>
            <w:r>
              <w:rPr>
                <w:sz w:val="18"/>
              </w:rPr>
              <w:t>Gross margin (GAAP)</w:t>
            </w:r>
          </w:p>
        </w:tc>
        <w:tc>
          <w:tcPr>
            <w:tcW w:type="dxa" w:w="1152"/>
          </w:tcPr>
          <w:p>
            <w:pPr>
              <w:jc w:val="right"/>
            </w:pPr>
            <w:r/>
            <w:r>
              <w:rPr>
                <w:sz w:val="18"/>
              </w:rPr>
              <w:t>42.4%</w:t>
            </w:r>
          </w:p>
        </w:tc>
        <w:tc>
          <w:tcPr>
            <w:tcW w:type="dxa" w:w="1152"/>
          </w:tcPr>
          <w:p>
            <w:pPr>
              <w:jc w:val="right"/>
            </w:pPr>
            <w:r/>
            <w:r>
              <w:rPr>
                <w:sz w:val="18"/>
              </w:rPr>
              <w:t>44.1%</w:t>
            </w:r>
          </w:p>
        </w:tc>
        <w:tc>
          <w:tcPr>
            <w:tcW w:type="dxa" w:w="1152"/>
          </w:tcPr>
          <w:p>
            <w:pPr>
              <w:jc w:val="right"/>
            </w:pPr>
            <w:r/>
            <w:r>
              <w:rPr>
                <w:sz w:val="18"/>
              </w:rPr>
              <w:t>43.8%</w:t>
            </w:r>
          </w:p>
        </w:tc>
        <w:tc>
          <w:tcPr>
            <w:tcW w:type="dxa" w:w="1152"/>
          </w:tcPr>
          <w:p>
            <w:pPr>
              <w:jc w:val="right"/>
            </w:pPr>
            <w:r/>
            <w:r>
              <w:rPr>
                <w:sz w:val="18"/>
              </w:rPr>
              <w:t>46.5%</w:t>
            </w:r>
          </w:p>
        </w:tc>
        <w:tc>
          <w:tcPr>
            <w:tcW w:type="dxa" w:w="1152"/>
          </w:tcPr>
          <w:p>
            <w:pPr>
              <w:jc w:val="right"/>
            </w:pPr>
            <w:r/>
            <w:r>
              <w:rPr>
                <w:sz w:val="18"/>
              </w:rPr>
              <w:t>46.5%</w:t>
            </w:r>
          </w:p>
        </w:tc>
        <w:tc>
          <w:tcPr>
            <w:tcW w:type="dxa" w:w="1152"/>
          </w:tcPr>
          <w:p>
            <w:pPr>
              <w:jc w:val="right"/>
            </w:pPr>
            <w:r/>
            <w:r>
              <w:rPr>
                <w:sz w:val="18"/>
              </w:rPr>
              <w:t>47.9%</w:t>
            </w:r>
          </w:p>
        </w:tc>
      </w:tr>
      <w:tr>
        <w:tc>
          <w:tcPr>
            <w:tcW w:type="dxa" w:w="3168"/>
          </w:tcPr>
          <w:p>
            <w:r/>
            <w:r>
              <w:rPr>
                <w:sz w:val="18"/>
              </w:rPr>
              <w:t>Operating margin (GAAP)</w:t>
            </w:r>
          </w:p>
        </w:tc>
        <w:tc>
          <w:tcPr>
            <w:tcW w:type="dxa" w:w="1152"/>
          </w:tcPr>
          <w:p>
            <w:pPr>
              <w:jc w:val="right"/>
            </w:pPr>
            <w:r/>
            <w:r>
              <w:rPr>
                <w:sz w:val="18"/>
              </w:rPr>
              <w:t>11.6%</w:t>
            </w:r>
          </w:p>
        </w:tc>
        <w:tc>
          <w:tcPr>
            <w:tcW w:type="dxa" w:w="1152"/>
          </w:tcPr>
          <w:p>
            <w:pPr>
              <w:jc w:val="right"/>
            </w:pPr>
            <w:r/>
            <w:r>
              <w:rPr>
                <w:sz w:val="18"/>
              </w:rPr>
              <w:t>11.2%</w:t>
            </w:r>
          </w:p>
        </w:tc>
        <w:tc>
          <w:tcPr>
            <w:tcW w:type="dxa" w:w="1152"/>
          </w:tcPr>
          <w:p>
            <w:pPr>
              <w:jc w:val="right"/>
            </w:pPr>
            <w:r/>
            <w:r>
              <w:rPr>
                <w:sz w:val="18"/>
              </w:rPr>
              <w:t>14.0%</w:t>
            </w:r>
          </w:p>
        </w:tc>
        <w:tc>
          <w:tcPr>
            <w:tcW w:type="dxa" w:w="1152"/>
          </w:tcPr>
          <w:p>
            <w:pPr>
              <w:jc w:val="right"/>
            </w:pPr>
            <w:r/>
            <w:r>
              <w:rPr>
                <w:sz w:val="18"/>
              </w:rPr>
              <w:t>15.3%</w:t>
            </w:r>
          </w:p>
        </w:tc>
        <w:tc>
          <w:tcPr>
            <w:tcW w:type="dxa" w:w="1152"/>
          </w:tcPr>
          <w:p>
            <w:pPr>
              <w:jc w:val="right"/>
            </w:pPr>
            <w:r/>
            <w:r>
              <w:rPr>
                <w:sz w:val="18"/>
              </w:rPr>
              <w:t>15.9%</w:t>
            </w:r>
          </w:p>
        </w:tc>
        <w:tc>
          <w:tcPr>
            <w:tcW w:type="dxa" w:w="1152"/>
          </w:tcPr>
          <w:p>
            <w:pPr>
              <w:jc w:val="right"/>
            </w:pPr>
            <w:r/>
            <w:r>
              <w:rPr>
                <w:sz w:val="18"/>
              </w:rPr>
              <w:t>15.5%</w:t>
            </w:r>
          </w:p>
        </w:tc>
      </w:tr>
      <w:tr>
        <w:tc>
          <w:tcPr>
            <w:tcW w:type="dxa" w:w="3168"/>
          </w:tcPr>
          <w:p>
            <w:r/>
            <w:r>
              <w:rPr>
                <w:sz w:val="18"/>
              </w:rPr>
              <w:t>Share-based compensation ($M)</w:t>
            </w:r>
          </w:p>
        </w:tc>
        <w:tc>
          <w:tcPr>
            <w:tcW w:type="dxa" w:w="1152"/>
          </w:tcPr>
          <w:p>
            <w:pPr>
              <w:jc w:val="right"/>
            </w:pPr>
            <w:r/>
            <w:r>
              <w:rPr>
                <w:sz w:val="18"/>
              </w:rPr>
              <w:t>103.0</w:t>
            </w:r>
          </w:p>
        </w:tc>
        <w:tc>
          <w:tcPr>
            <w:tcW w:type="dxa" w:w="1152"/>
          </w:tcPr>
          <w:p>
            <w:pPr>
              <w:jc w:val="right"/>
            </w:pPr>
            <w:r/>
            <w:r>
              <w:rPr>
                <w:sz w:val="18"/>
              </w:rPr>
              <w:t>108.3</w:t>
            </w:r>
          </w:p>
        </w:tc>
        <w:tc>
          <w:tcPr>
            <w:tcW w:type="dxa" w:w="1152"/>
          </w:tcPr>
          <w:p>
            <w:pPr>
              <w:jc w:val="right"/>
            </w:pPr>
            <w:r/>
            <w:r>
              <w:rPr>
                <w:sz w:val="18"/>
              </w:rPr>
              <w:t>122.8</w:t>
            </w:r>
          </w:p>
        </w:tc>
        <w:tc>
          <w:tcPr>
            <w:tcW w:type="dxa" w:w="1152"/>
          </w:tcPr>
          <w:p>
            <w:pPr>
              <w:jc w:val="right"/>
            </w:pPr>
            <w:r/>
            <w:r>
              <w:rPr>
                <w:sz w:val="18"/>
              </w:rPr>
              <w:t>151.3</w:t>
            </w:r>
          </w:p>
        </w:tc>
        <w:tc>
          <w:tcPr>
            <w:tcW w:type="dxa" w:w="1152"/>
          </w:tcPr>
          <w:p>
            <w:pPr>
              <w:jc w:val="right"/>
            </w:pPr>
            <w:r/>
            <w:r>
              <w:rPr>
                <w:sz w:val="18"/>
              </w:rPr>
              <w:t>76.0</w:t>
            </w:r>
          </w:p>
        </w:tc>
        <w:tc>
          <w:tcPr>
            <w:tcW w:type="dxa" w:w="1152"/>
          </w:tcPr>
          <w:p>
            <w:pPr>
              <w:jc w:val="right"/>
            </w:pPr>
            <w:r/>
            <w:r>
              <w:rPr>
                <w:sz w:val="18"/>
              </w:rPr>
              <w:t>80.8</w:t>
            </w:r>
          </w:p>
        </w:tc>
      </w:tr>
      <w:tr>
        <w:tc>
          <w:tcPr>
            <w:tcW w:type="dxa" w:w="3168"/>
          </w:tcPr>
          <w:p>
            <w:r/>
            <w:r>
              <w:rPr>
                <w:sz w:val="18"/>
              </w:rPr>
              <w:t>Diluted EPS ($)</w:t>
            </w:r>
          </w:p>
        </w:tc>
        <w:tc>
          <w:tcPr>
            <w:tcW w:type="dxa" w:w="1152"/>
          </w:tcPr>
          <w:p>
            <w:pPr>
              <w:jc w:val="right"/>
            </w:pPr>
            <w:r/>
            <w:r>
              <w:rPr>
                <w:sz w:val="18"/>
              </w:rPr>
              <w:t>$3.87</w:t>
            </w:r>
          </w:p>
        </w:tc>
        <w:tc>
          <w:tcPr>
            <w:tcW w:type="dxa" w:w="1152"/>
          </w:tcPr>
          <w:p>
            <w:pPr>
              <w:jc w:val="right"/>
            </w:pPr>
            <w:r/>
            <w:r>
              <w:rPr>
                <w:sz w:val="18"/>
              </w:rPr>
              <w:t>$3.88</w:t>
            </w:r>
          </w:p>
        </w:tc>
        <w:tc>
          <w:tcPr>
            <w:tcW w:type="dxa" w:w="1152"/>
          </w:tcPr>
          <w:p>
            <w:pPr>
              <w:jc w:val="right"/>
            </w:pPr>
            <w:r/>
            <w:r>
              <w:rPr>
                <w:sz w:val="18"/>
              </w:rPr>
              <w:t>$6.05</w:t>
            </w:r>
          </w:p>
        </w:tc>
        <w:tc>
          <w:tcPr>
            <w:tcW w:type="dxa" w:w="1152"/>
          </w:tcPr>
          <w:p>
            <w:pPr>
              <w:jc w:val="right"/>
            </w:pPr>
            <w:r/>
            <w:r>
              <w:rPr>
                <w:sz w:val="18"/>
              </w:rPr>
              <w:t>$7.20</w:t>
            </w:r>
          </w:p>
        </w:tc>
        <w:tc>
          <w:tcPr>
            <w:tcW w:type="dxa" w:w="1152"/>
          </w:tcPr>
          <w:p>
            <w:pPr>
              <w:jc w:val="right"/>
            </w:pPr>
            <w:r/>
            <w:r>
              <w:rPr>
                <w:sz w:val="18"/>
              </w:rPr>
              <w:t>$3.76</w:t>
            </w:r>
          </w:p>
        </w:tc>
        <w:tc>
          <w:tcPr>
            <w:tcW w:type="dxa" w:w="1152"/>
          </w:tcPr>
          <w:p>
            <w:pPr>
              <w:jc w:val="right"/>
            </w:pPr>
            <w:r/>
            <w:r>
              <w:rPr>
                <w:sz w:val="18"/>
              </w:rPr>
              <w:t>$4.17</w:t>
            </w:r>
          </w:p>
        </w:tc>
      </w:tr>
      <w:tr>
        <w:tc>
          <w:tcPr>
            <w:tcW w:type="dxa" w:w="3168"/>
          </w:tcPr>
          <w:p>
            <w:r/>
            <w:r>
              <w:rPr>
                <w:sz w:val="18"/>
              </w:rPr>
              <w:t>Free cash flow, company definition ($M)</w:t>
            </w:r>
          </w:p>
        </w:tc>
        <w:tc>
          <w:tcPr>
            <w:tcW w:type="dxa" w:w="1152"/>
          </w:tcPr>
          <w:p>
            <w:pPr>
              <w:jc w:val="right"/>
            </w:pPr>
            <w:r/>
            <w:r>
              <w:rPr>
                <w:sz w:val="18"/>
              </w:rPr>
              <w:t>331.3</w:t>
            </w:r>
          </w:p>
        </w:tc>
        <w:tc>
          <w:tcPr>
            <w:tcW w:type="dxa" w:w="1152"/>
          </w:tcPr>
          <w:p>
            <w:pPr>
              <w:jc w:val="right"/>
            </w:pPr>
            <w:r/>
            <w:r>
              <w:rPr>
                <w:sz w:val="18"/>
              </w:rPr>
              <w:t>327.4</w:t>
            </w:r>
          </w:p>
        </w:tc>
        <w:tc>
          <w:tcPr>
            <w:tcW w:type="dxa" w:w="1152"/>
          </w:tcPr>
          <w:p>
            <w:pPr>
              <w:jc w:val="right"/>
            </w:pPr>
            <w:r/>
            <w:r>
              <w:rPr>
                <w:sz w:val="18"/>
              </w:rPr>
              <w:t>574.7</w:t>
            </w:r>
          </w:p>
        </w:tc>
        <w:tc>
          <w:tcPr>
            <w:tcW w:type="dxa" w:w="1152"/>
          </w:tcPr>
          <w:p>
            <w:pPr>
              <w:jc w:val="right"/>
            </w:pPr>
            <w:r/>
            <w:r>
              <w:rPr>
                <w:sz w:val="18"/>
              </w:rPr>
              <w:t>620.8</w:t>
            </w:r>
          </w:p>
        </w:tc>
        <w:tc>
          <w:tcPr>
            <w:tcW w:type="dxa" w:w="1152"/>
          </w:tcPr>
          <w:p>
            <w:pPr>
              <w:jc w:val="right"/>
            </w:pPr>
            <w:r/>
            <w:r>
              <w:rPr>
                <w:sz w:val="18"/>
              </w:rPr>
              <w:t>136.2</w:t>
            </w:r>
          </w:p>
        </w:tc>
        <w:tc>
          <w:tcPr>
            <w:tcW w:type="dxa" w:w="1152"/>
          </w:tcPr>
          <w:p>
            <w:pPr>
              <w:jc w:val="right"/>
            </w:pPr>
            <w:r/>
            <w:r>
              <w:rPr>
                <w:sz w:val="18"/>
              </w:rPr>
              <w:t>221.3</w:t>
            </w:r>
          </w:p>
        </w:tc>
      </w:tr>
    </w:tbl>
    <w:p>
      <w:pPr>
        <w:spacing w:after="40"/>
      </w:pPr>
    </w:p>
    <w:p>
      <w:r>
        <w:rPr>
          <w:i w:val="0"/>
          <w:color w:val="5B6475"/>
          <w:sz w:val="17"/>
        </w:rPr>
        <w:t>Source: Tyler 10-K filings FY2023–FY2025 and 10-Q filings for the six months to 30 June 2025 and 2026; revenue lines from the disaggregation-of-revenue notes. 6M growth is versus 6M of the prior year. 6M26 EPS includes a $25.0M non-cash gain on remeasuring Tyler's previously held stake in For The Record (acquired 14 April 2026). Free cash flow = cash from operations − PP&amp;E additions − capitalised software development.</w:t>
      </w:r>
    </w:p>
    <w:p>
      <w:pPr>
        <w:pStyle w:val="Heading1"/>
      </w:pPr>
      <w:r>
        <w:t>3. Assignment 1: written memo to the client (client-ready)</w:t>
      </w:r>
    </w:p>
    <w:p>
      <w:r>
        <w:rPr>
          <w:i w:val="0"/>
        </w:rPr>
        <w:t>Write a memo of no more than three pages (plus up to two pages of exhibits) that the Managing Director can send to the client. Use these sections, in this order:</w:t>
      </w:r>
    </w:p>
    <w:p>
      <w:pPr>
        <w:pStyle w:val="ListNumber"/>
      </w:pPr>
      <w:r>
        <w:t>Recommendation and price target. Rating (Outperform / Neutral / Underperform), 12-month price target and expected return, in the first three sentences.</w:t>
      </w:r>
    </w:p>
    <w:p>
      <w:pPr>
        <w:pStyle w:val="ListNumber"/>
      </w:pPr>
      <w:r>
        <w:t>Investment thesis. Three numbered points, each tied to a number in your model.</w:t>
      </w:r>
    </w:p>
    <w:p>
      <w:pPr>
        <w:pStyle w:val="ListNumber"/>
      </w:pPr>
      <w:r>
        <w:t>The SaaS transition. What conversion from maintenance to SaaS does to revenue, gross margin, deferred revenue and free cash flow, and how far through it Tyler is. Compare your FY30E with the Investor Day targets.</w:t>
      </w:r>
    </w:p>
    <w:p>
      <w:pPr>
        <w:pStyle w:val="ListNumber"/>
      </w:pPr>
      <w:r>
        <w:t>Quality of earnings. GAAP versus non-GAAP: share-based compensation, amortisation of acquired intangibles, the remeasurement gain. State which EBITDA you use for valuation and comps, and why.</w:t>
      </w:r>
    </w:p>
    <w:p>
      <w:pPr>
        <w:pStyle w:val="ListNumber"/>
      </w:pPr>
      <w:r>
        <w:t>Capital structure. Explain the 2031 convertible notes, the capped call and net share settlement, how you treat them in the equity bridge and the share count, and whether the levered buyback created value.</w:t>
      </w:r>
    </w:p>
    <w:p>
      <w:pPr>
        <w:pStyle w:val="ListNumber"/>
      </w:pPr>
      <w:r>
        <w:t>What the market is pricing in. Back out the perpetual growth rate or exit multiple implied by $329.55.</w:t>
      </w:r>
    </w:p>
    <w:p>
      <w:pPr>
        <w:pStyle w:val="ListNumber"/>
      </w:pPr>
      <w:r>
        <w:t>Valuation. DCF (both terminal methods) and trading comparables, summarised in a football field. Explain why the methods differ so much for software.</w:t>
      </w:r>
    </w:p>
    <w:p>
      <w:pPr>
        <w:pStyle w:val="ListNumber"/>
      </w:pPr>
      <w:r>
        <w:t>Risks and catalysts. AI disruption, public-sector budgets, payments volumes, execution of the SaaS migration; at least one quantified downside case; what you would watch at 3Q26 results and in the 2027 outlook.</w:t>
      </w:r>
    </w:p>
    <w:tbl>
      <w:tblPr>
        <w:tblW w:type="auto" w:w="0"/>
        <w:tblLook w:firstColumn="1" w:firstRow="1" w:lastColumn="0" w:lastRow="0" w:noHBand="0" w:noVBand="1" w:val="04A0"/>
        <w:tblBorders>
          <w:top w:val="single" w:sz="4" w:color="1E3A5F"/>
          <w:left w:val="single" w:sz="4" w:color="1E3A5F"/>
          <w:bottom w:val="single" w:sz="4" w:color="1E3A5F"/>
          <w:right w:val="single" w:sz="4" w:color="1E3A5F"/>
          <w:insideH w:val="single" w:sz="4" w:color="1E3A5F"/>
          <w:insideV w:val="single" w:sz="4" w:color="1E3A5F"/>
        </w:tblBorders>
      </w:tblPr>
      <w:tblGrid>
        <w:gridCol w:w="9360"/>
      </w:tblGrid>
      <w:tr>
        <w:tc>
          <w:tcPr>
            <w:tcW w:type="dxa" w:w="9360"/>
            <w:shd w:val="clear" w:color="auto" w:fill="F2F4F8"/>
          </w:tcPr>
          <w:p>
            <w:r/>
            <w:r>
              <w:rPr>
                <w:rFonts w:ascii="Georgia" w:hAnsi="Georgia"/>
                <w:b/>
                <w:color w:val="1E3A5F"/>
              </w:rPr>
              <w:t>Standards for the memo</w:t>
            </w:r>
          </w:p>
          <w:p>
            <w:r>
              <w:rPr>
                <w:sz w:val="20"/>
              </w:rPr>
              <w:t>Lead with the answer. Every important claim has a number and a source (filing, note or exhibit).</w:t>
            </w:r>
          </w:p>
          <w:p>
            <w:r>
              <w:rPr>
                <w:sz w:val="20"/>
              </w:rPr>
              <w:t>Separate facts (filed figures) from assumptions (label them) and from management targets (cite the Investor Day). Label periods precisely: FY25A, LTM Jun-26, FY27E.</w:t>
            </w:r>
          </w:p>
          <w:p>
            <w:r>
              <w:rPr>
                <w:sz w:val="20"/>
              </w:rPr>
              <w:t>Give the strongest counter-argument to your call its own paragraph.</w:t>
            </w:r>
          </w:p>
        </w:tc>
      </w:tr>
    </w:tbl>
    <w:p>
      <w:pPr>
        <w:spacing w:after="40"/>
      </w:pPr>
    </w:p>
    <w:p>
      <w:pPr>
        <w:pStyle w:val="Heading1"/>
      </w:pPr>
      <w:r>
        <w:t>4. Assignment 2: financial model</w:t>
      </w:r>
    </w:p>
    <w:p>
      <w:r>
        <w:rPr>
          <w:i w:val="0"/>
        </w:rPr>
        <w:t>Build a five-year (FY26E–FY30E) integrated model in the template. Historical financials (FY22A–FY25A, 6M25A, 6M26A, the June 2025 and June 2026 balance sheets and ten quarters of revenue) are already entered from the filings and tie to the reported totals. You build every yellow cell.</w:t>
      </w:r>
    </w:p>
    <w:p>
      <w:pPr>
        <w:pStyle w:val="Heading2"/>
      </w:pPr>
      <w:r>
        <w:t>Deliverables</w:t>
      </w:r>
    </w:p>
    <w:p>
      <w:pPr>
        <w:pStyle w:val="ListNumber"/>
      </w:pPr>
      <w:r>
        <w:t>Revenue &amp; ARR build: forecast SaaS, transaction-based fees, maintenance, professional services and other revenue separately. Show recurring revenue, its share of the total and SaaS ÷ (SaaS + maintenance) as a conversion measure.</w:t>
      </w:r>
    </w:p>
    <w:p>
      <w:pPr>
        <w:pStyle w:val="ListNumber"/>
      </w:pPr>
      <w:r>
        <w:t>Deferred revenue driven by the billed-in-advance revenue base (SaaS + maintenance), and receivables on DSO. Explain why deferred revenue makes Tyler's cash flow lead its earnings.</w:t>
      </w:r>
    </w:p>
    <w:p>
      <w:pPr>
        <w:pStyle w:val="ListNumber"/>
      </w:pPr>
      <w:r>
        <w:t>Integrated three-statement forecast: costs as % of revenue with amortisation of acquired intangibles, acquired software and capitalised software scheduled separately; SBC; tax; buybacks reducing the share count. The balance sheet must balance in every year (Checks tab ALL CHECKS OK) with no plugs.</w:t>
      </w:r>
    </w:p>
    <w:p>
      <w:pPr>
        <w:pStyle w:val="ListNumber"/>
      </w:pPr>
      <w:r>
        <w:t>Debt schedule: the 2026 notes repaid in March 2026; the 2031 notes with discount accretion and the 0.50% coupon; a revolver that draws only to protect a minimum cash balance; interest income on cash and investments. No circular references.</w:t>
      </w:r>
    </w:p>
    <w:p>
      <w:pPr>
        <w:pStyle w:val="ListNumber"/>
      </w:pPr>
      <w:r>
        <w:t>DCF: unlevered free cash flow (SBC is a cost and is not added back), WACC (CAPM, relevered peer beta, a straight-debt cost of debt), mid-period discounting from the 30 June 2026 balance sheet with a 2H26 stub, Gordon-growth and exit-multiple terminal values, implied cross-checks, and an equity bridge that treats the convertible correctly.</w:t>
      </w:r>
    </w:p>
    <w:p>
      <w:pPr>
        <w:pStyle w:val="ListNumber"/>
      </w:pPr>
      <w:r>
        <w:t>Trading comparables: the five software companies in the template (GWRE, BSY, VEEV, ROP, MANH), LTM built as FY + YTD − prior YTD, EV / LTM revenue, EV / LTM EBITDA and P / LTM EPS, with a note on any multiple that is not meaningful.</w:t>
      </w:r>
    </w:p>
    <w:p>
      <w:pPr>
        <w:pStyle w:val="ListNumber"/>
      </w:pPr>
      <w:r>
        <w:t>Sensitivities: WACC × g, WACC × exit multiple, revenue growth × EBITDA margin, as live formulas (no Data Tables). Football field.</w:t>
      </w:r>
    </w:p>
    <w:p>
      <w:pPr>
        <w:pStyle w:val="ListNumber"/>
      </w:pPr>
      <w:r>
        <w:t>A one-page convertible and buyback analysis: shares issued under net share settlement at $400, $500 and $700, the capped call offset, and whether the 2026 buybacks were done above or below your intrinsic value.</w:t>
      </w:r>
    </w:p>
    <w:p>
      <w:pPr>
        <w:pStyle w:val="Heading2"/>
      </w:pPr>
      <w:r>
        <w:t>Required conventions</w:t>
      </w:r>
    </w:p>
    <w:p>
      <w:pPr>
        <w:pStyle w:val="ListBullet"/>
      </w:pPr>
      <w:r>
        <w:rPr>
          <w:b/>
        </w:rPr>
        <w:t xml:space="preserve">Periods. </w:t>
      </w:r>
      <w:r>
        <w:t>Calendar years; LTM Jun-26 = FY25A + 6M26A − 6M25A as a formula. FY26E = 6M26A + your 2H26 forecast, where the 2H26 item is a choice (buybacks, interest, the gain).</w:t>
      </w:r>
    </w:p>
    <w:p>
      <w:pPr>
        <w:pStyle w:val="ListBullet"/>
      </w:pPr>
      <w:r>
        <w:rPr>
          <w:b/>
        </w:rPr>
        <w:t xml:space="preserve">SBC. </w:t>
      </w:r>
      <w:r>
        <w:t>Share-based compensation is a real, recurring cost paid in shares. Do not add it back to unlevered free cash flow unless you also model the dilution it causes; use GAAP EBITDA (after SBC) when comparing with the GAAP-based peer multiples in the template.</w:t>
      </w:r>
    </w:p>
    <w:p>
      <w:pPr>
        <w:pStyle w:val="ListBullet"/>
      </w:pPr>
      <w:r>
        <w:rPr>
          <w:b/>
        </w:rPr>
        <w:t xml:space="preserve">Convertible notes. </w:t>
      </w:r>
      <w:r>
        <w:t>Show the principal in the bridge, explain the share-count treatment at the current price, and use a cost of debt for a straight-debt equivalent, not the 0.50% coupon. State your choice and source it or label it Judgment.</w:t>
      </w:r>
    </w:p>
    <w:p>
      <w:pPr>
        <w:pStyle w:val="ListBullet"/>
      </w:pPr>
      <w:r>
        <w:rPr>
          <w:b/>
        </w:rPr>
        <w:t xml:space="preserve">Valuation date. </w:t>
      </w:r>
      <w:r>
        <w:t>Discount to 30 June 2026 and roll the equity value forward to 9 October 2026 at the cost of equity. Tyler pays no dividend.</w:t>
      </w:r>
    </w:p>
    <w:p>
      <w:pPr>
        <w:pStyle w:val="ListBullet"/>
      </w:pPr>
      <w:r>
        <w:rPr>
          <w:b/>
        </w:rPr>
        <w:t xml:space="preserve">Market inputs. </w:t>
      </w:r>
      <w:r>
        <w:t>Use the price, share count, Treasury yield and peer data in the template. Any different ERP, beta or terminal assumption needs a dated source or a Judgment label with a rationale.</w:t>
      </w:r>
    </w:p>
    <w:p>
      <w:pPr>
        <w:pStyle w:val="ListBullet"/>
      </w:pPr>
      <w:r>
        <w:rPr>
          <w:b/>
        </w:rPr>
        <w:t xml:space="preserve">Signs and units. </w:t>
      </w:r>
      <w:r>
        <w:t>$ millions; costs positive and subtracted; cash flow statement as filed (outflows negative).</w:t>
      </w:r>
    </w:p>
    <w:p>
      <w:pPr>
        <w:pStyle w:val="Heading1"/>
      </w:pPr>
      <w:r>
        <w:t>5. Time budget</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7200"/>
        <w:gridCol w:w="2160"/>
      </w:tblGrid>
      <w:tr>
        <w:tc>
          <w:tcPr>
            <w:tcW w:type="dxa" w:w="7200"/>
            <w:shd w:val="clear" w:color="auto" w:fill="1E3A5F"/>
          </w:tcPr>
          <w:p>
            <w:r/>
            <w:r>
              <w:rPr>
                <w:b/>
                <w:color w:val="FFFFFF"/>
                <w:sz w:val="18"/>
              </w:rPr>
              <w:t>Task</w:t>
            </w:r>
          </w:p>
        </w:tc>
        <w:tc>
          <w:tcPr>
            <w:tcW w:type="dxa" w:w="2160"/>
            <w:shd w:val="clear" w:color="auto" w:fill="1E3A5F"/>
          </w:tcPr>
          <w:p>
            <w:r/>
            <w:r>
              <w:rPr>
                <w:b/>
                <w:color w:val="FFFFFF"/>
                <w:sz w:val="18"/>
              </w:rPr>
              <w:t>Suggested time</w:t>
            </w:r>
          </w:p>
        </w:tc>
      </w:tr>
      <w:tr>
        <w:tc>
          <w:tcPr>
            <w:tcW w:type="dxa" w:w="7200"/>
          </w:tcPr>
          <w:p>
            <w:r/>
            <w:r>
              <w:rPr>
                <w:sz w:val="18"/>
              </w:rPr>
              <w:t>Read the filings: 10-K FY25 Item 1, MD&amp;A and notes (revenue, deferred revenue, debt, EPS, share repurchases), 10-Q 2Q26, the 2Q26 release, the May 2026 convertible 8-K, the Investor Day deck</w:t>
            </w:r>
          </w:p>
        </w:tc>
        <w:tc>
          <w:tcPr>
            <w:tcW w:type="dxa" w:w="2160"/>
          </w:tcPr>
          <w:p>
            <w:pPr>
              <w:jc w:val="right"/>
            </w:pPr>
            <w:r/>
            <w:r>
              <w:rPr>
                <w:sz w:val="18"/>
              </w:rPr>
              <w:t>2.5 h</w:t>
            </w:r>
          </w:p>
        </w:tc>
      </w:tr>
      <w:tr>
        <w:tc>
          <w:tcPr>
            <w:tcW w:type="dxa" w:w="7200"/>
          </w:tcPr>
          <w:p>
            <w:r/>
            <w:r>
              <w:rPr>
                <w:sz w:val="18"/>
              </w:rPr>
              <w:t>Revenue &amp; ARR build; income statement</w:t>
            </w:r>
          </w:p>
        </w:tc>
        <w:tc>
          <w:tcPr>
            <w:tcW w:type="dxa" w:w="2160"/>
          </w:tcPr>
          <w:p>
            <w:pPr>
              <w:jc w:val="right"/>
            </w:pPr>
            <w:r/>
            <w:r>
              <w:rPr>
                <w:sz w:val="18"/>
              </w:rPr>
              <w:t>2.0 h</w:t>
            </w:r>
          </w:p>
        </w:tc>
      </w:tr>
      <w:tr>
        <w:tc>
          <w:tcPr>
            <w:tcW w:type="dxa" w:w="7200"/>
          </w:tcPr>
          <w:p>
            <w:r/>
            <w:r>
              <w:rPr>
                <w:sz w:val="18"/>
              </w:rPr>
              <w:t>Balance sheet, cash flow, debt; balance the model</w:t>
            </w:r>
          </w:p>
        </w:tc>
        <w:tc>
          <w:tcPr>
            <w:tcW w:type="dxa" w:w="2160"/>
          </w:tcPr>
          <w:p>
            <w:pPr>
              <w:jc w:val="right"/>
            </w:pPr>
            <w:r/>
            <w:r>
              <w:rPr>
                <w:sz w:val="18"/>
              </w:rPr>
              <w:t>2.0–3.0 h</w:t>
            </w:r>
          </w:p>
        </w:tc>
      </w:tr>
      <w:tr>
        <w:tc>
          <w:tcPr>
            <w:tcW w:type="dxa" w:w="7200"/>
          </w:tcPr>
          <w:p>
            <w:r/>
            <w:r>
              <w:rPr>
                <w:sz w:val="18"/>
              </w:rPr>
              <w:t>DCF, comps, sensitivities, football field, convertible analysis</w:t>
            </w:r>
          </w:p>
        </w:tc>
        <w:tc>
          <w:tcPr>
            <w:tcW w:type="dxa" w:w="2160"/>
          </w:tcPr>
          <w:p>
            <w:pPr>
              <w:jc w:val="right"/>
            </w:pPr>
            <w:r/>
            <w:r>
              <w:rPr>
                <w:sz w:val="18"/>
              </w:rPr>
              <w:t>2.5 h</w:t>
            </w:r>
          </w:p>
        </w:tc>
      </w:tr>
      <w:tr>
        <w:tc>
          <w:tcPr>
            <w:tcW w:type="dxa" w:w="7200"/>
          </w:tcPr>
          <w:p>
            <w:r/>
            <w:r>
              <w:rPr>
                <w:sz w:val="18"/>
              </w:rPr>
              <w:t>Write the memo and exhibits</w:t>
            </w:r>
          </w:p>
        </w:tc>
        <w:tc>
          <w:tcPr>
            <w:tcW w:type="dxa" w:w="2160"/>
          </w:tcPr>
          <w:p>
            <w:pPr>
              <w:jc w:val="right"/>
            </w:pPr>
            <w:r/>
            <w:r>
              <w:rPr>
                <w:sz w:val="18"/>
              </w:rPr>
              <w:t>2.5–3.0 h</w:t>
            </w:r>
          </w:p>
        </w:tc>
      </w:tr>
      <w:tr>
        <w:tc>
          <w:tcPr>
            <w:tcW w:type="dxa" w:w="7200"/>
          </w:tcPr>
          <w:p>
            <w:r/>
            <w:r>
              <w:rPr>
                <w:sz w:val="18"/>
              </w:rPr>
              <w:t>Review</w:t>
            </w:r>
          </w:p>
        </w:tc>
        <w:tc>
          <w:tcPr>
            <w:tcW w:type="dxa" w:w="2160"/>
          </w:tcPr>
          <w:p>
            <w:pPr>
              <w:jc w:val="right"/>
            </w:pPr>
            <w:r/>
            <w:r>
              <w:rPr>
                <w:sz w:val="18"/>
              </w:rPr>
              <w:t>1.0 h</w:t>
            </w:r>
          </w:p>
        </w:tc>
      </w:tr>
      <w:tr>
        <w:tc>
          <w:tcPr>
            <w:tcW w:type="dxa" w:w="7200"/>
          </w:tcPr>
          <w:p>
            <w:r/>
            <w:r>
              <w:rPr>
                <w:b/>
                <w:sz w:val="18"/>
              </w:rPr>
              <w:t>Total</w:t>
            </w:r>
          </w:p>
        </w:tc>
        <w:tc>
          <w:tcPr>
            <w:tcW w:type="dxa" w:w="2160"/>
          </w:tcPr>
          <w:p>
            <w:pPr>
              <w:jc w:val="right"/>
            </w:pPr>
            <w:r/>
            <w:r>
              <w:rPr>
                <w:b/>
                <w:sz w:val="18"/>
              </w:rPr>
              <w:t>12–14 h over 1–2 days</w:t>
            </w:r>
          </w:p>
        </w:tc>
      </w:tr>
    </w:tbl>
    <w:p>
      <w:pPr>
        <w:spacing w:after="40"/>
      </w:pPr>
    </w:p>
    <w:p>
      <w:pPr>
        <w:pStyle w:val="Heading1"/>
      </w:pPr>
      <w:r>
        <w:t>6. How you will be graded</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304"/>
        <w:gridCol w:w="1007"/>
        <w:gridCol w:w="6048"/>
      </w:tblGrid>
      <w:tr>
        <w:tc>
          <w:tcPr>
            <w:tcW w:type="dxa" w:w="2304"/>
            <w:shd w:val="clear" w:color="auto" w:fill="1E3A5F"/>
          </w:tcPr>
          <w:p>
            <w:r/>
            <w:r>
              <w:rPr>
                <w:b/>
                <w:color w:val="FFFFFF"/>
                <w:sz w:val="18"/>
              </w:rPr>
              <w:t>Area</w:t>
            </w:r>
          </w:p>
        </w:tc>
        <w:tc>
          <w:tcPr>
            <w:tcW w:type="dxa" w:w="1008"/>
            <w:shd w:val="clear" w:color="auto" w:fill="1E3A5F"/>
          </w:tcPr>
          <w:p>
            <w:r/>
            <w:r>
              <w:rPr>
                <w:b/>
                <w:color w:val="FFFFFF"/>
                <w:sz w:val="18"/>
              </w:rPr>
              <w:t>Weight</w:t>
            </w:r>
          </w:p>
        </w:tc>
        <w:tc>
          <w:tcPr>
            <w:tcW w:type="dxa" w:w="6048"/>
            <w:shd w:val="clear" w:color="auto" w:fill="1E3A5F"/>
          </w:tcPr>
          <w:p>
            <w:r/>
            <w:r>
              <w:rPr>
                <w:b/>
                <w:color w:val="FFFFFF"/>
                <w:sz w:val="18"/>
              </w:rPr>
              <w:t>What earns full credit</w:t>
            </w:r>
          </w:p>
        </w:tc>
      </w:tr>
      <w:tr>
        <w:tc>
          <w:tcPr>
            <w:tcW w:type="dxa" w:w="2304"/>
          </w:tcPr>
          <w:p>
            <w:r/>
            <w:r>
              <w:rPr>
                <w:sz w:val="18"/>
              </w:rPr>
              <w:t>Model integrity</w:t>
            </w:r>
          </w:p>
        </w:tc>
        <w:tc>
          <w:tcPr>
            <w:tcW w:type="dxa" w:w="1008"/>
          </w:tcPr>
          <w:p>
            <w:pPr>
              <w:jc w:val="right"/>
            </w:pPr>
            <w:r/>
            <w:r>
              <w:rPr>
                <w:sz w:val="18"/>
              </w:rPr>
              <w:t>20%</w:t>
            </w:r>
          </w:p>
        </w:tc>
        <w:tc>
          <w:tcPr>
            <w:tcW w:type="dxa" w:w="6048"/>
          </w:tcPr>
          <w:p>
            <w:r/>
            <w:r>
              <w:rPr>
                <w:sz w:val="18"/>
              </w:rPr>
              <w:t>Balances in every year; cash ties; no hard-codes in forecast formulas; checks pass; periods and units labelled.</w:t>
            </w:r>
          </w:p>
        </w:tc>
      </w:tr>
      <w:tr>
        <w:tc>
          <w:tcPr>
            <w:tcW w:type="dxa" w:w="2304"/>
          </w:tcPr>
          <w:p>
            <w:r/>
            <w:r>
              <w:rPr>
                <w:sz w:val="18"/>
              </w:rPr>
              <w:t>Forecast quality</w:t>
            </w:r>
          </w:p>
        </w:tc>
        <w:tc>
          <w:tcPr>
            <w:tcW w:type="dxa" w:w="1008"/>
          </w:tcPr>
          <w:p>
            <w:pPr>
              <w:jc w:val="right"/>
            </w:pPr>
            <w:r/>
            <w:r>
              <w:rPr>
                <w:sz w:val="18"/>
              </w:rPr>
              <w:t>20%</w:t>
            </w:r>
          </w:p>
        </w:tc>
        <w:tc>
          <w:tcPr>
            <w:tcW w:type="dxa" w:w="6048"/>
          </w:tcPr>
          <w:p>
            <w:r/>
            <w:r>
              <w:rPr>
                <w:sz w:val="18"/>
              </w:rPr>
              <w:t>Revenue by line with the SaaS conversion explicit; deferred revenue on the billed base; margin path argued against history and management targets; every assumption sourced or labelled Judgment.</w:t>
            </w:r>
          </w:p>
        </w:tc>
      </w:tr>
      <w:tr>
        <w:tc>
          <w:tcPr>
            <w:tcW w:type="dxa" w:w="2304"/>
          </w:tcPr>
          <w:p>
            <w:r/>
            <w:r>
              <w:rPr>
                <w:sz w:val="18"/>
              </w:rPr>
              <w:t>Valuation</w:t>
            </w:r>
          </w:p>
        </w:tc>
        <w:tc>
          <w:tcPr>
            <w:tcW w:type="dxa" w:w="1008"/>
          </w:tcPr>
          <w:p>
            <w:pPr>
              <w:jc w:val="right"/>
            </w:pPr>
            <w:r/>
            <w:r>
              <w:rPr>
                <w:sz w:val="18"/>
              </w:rPr>
              <w:t>20%</w:t>
            </w:r>
          </w:p>
        </w:tc>
        <w:tc>
          <w:tcPr>
            <w:tcW w:type="dxa" w:w="6048"/>
          </w:tcPr>
          <w:p>
            <w:r/>
            <w:r>
              <w:rPr>
                <w:sz w:val="18"/>
              </w:rPr>
              <w:t>Correct UFCF (SBC treated as a cost) and WACC; stub and mid-period; terminal value cross-checked; convertible treated correctly in the bridge and share count; comps on a consistent GAAP basis.</w:t>
            </w:r>
          </w:p>
        </w:tc>
      </w:tr>
      <w:tr>
        <w:tc>
          <w:tcPr>
            <w:tcW w:type="dxa" w:w="2304"/>
          </w:tcPr>
          <w:p>
            <w:r/>
            <w:r>
              <w:rPr>
                <w:sz w:val="18"/>
              </w:rPr>
              <w:t>Memo: thesis and judgement</w:t>
            </w:r>
          </w:p>
        </w:tc>
        <w:tc>
          <w:tcPr>
            <w:tcW w:type="dxa" w:w="1008"/>
          </w:tcPr>
          <w:p>
            <w:pPr>
              <w:jc w:val="right"/>
            </w:pPr>
            <w:r/>
            <w:r>
              <w:rPr>
                <w:sz w:val="18"/>
              </w:rPr>
              <w:t>25%</w:t>
            </w:r>
          </w:p>
        </w:tc>
        <w:tc>
          <w:tcPr>
            <w:tcW w:type="dxa" w:w="6048"/>
          </w:tcPr>
          <w:p>
            <w:r/>
            <w:r>
              <w:rPr>
                <w:sz w:val="18"/>
              </w:rPr>
              <w:t>Clear call with price target; priced-in analysis; SaaS economics and the levered buyback addressed with numbers; strongest counter-argument; quantified downside.</w:t>
            </w:r>
          </w:p>
        </w:tc>
      </w:tr>
      <w:tr>
        <w:tc>
          <w:tcPr>
            <w:tcW w:type="dxa" w:w="2304"/>
          </w:tcPr>
          <w:p>
            <w:r/>
            <w:r>
              <w:rPr>
                <w:sz w:val="18"/>
              </w:rPr>
              <w:t>Memo: communication</w:t>
            </w:r>
          </w:p>
        </w:tc>
        <w:tc>
          <w:tcPr>
            <w:tcW w:type="dxa" w:w="1008"/>
          </w:tcPr>
          <w:p>
            <w:pPr>
              <w:jc w:val="right"/>
            </w:pPr>
            <w:r/>
            <w:r>
              <w:rPr>
                <w:sz w:val="18"/>
              </w:rPr>
              <w:t>15%</w:t>
            </w:r>
          </w:p>
        </w:tc>
        <w:tc>
          <w:tcPr>
            <w:tcW w:type="dxa" w:w="6048"/>
          </w:tcPr>
          <w:p>
            <w:r/>
            <w:r>
              <w:rPr>
                <w:sz w:val="18"/>
              </w:rPr>
              <w:t>Client-ready, concise, exhibits that support the argument, precise labels and sources.</w:t>
            </w:r>
          </w:p>
        </w:tc>
      </w:tr>
    </w:tbl>
    <w:p>
      <w:pPr>
        <w:spacing w:after="40"/>
      </w:pPr>
    </w:p>
    <w:p>
      <w:pPr>
        <w:pStyle w:val="Heading1"/>
      </w:pPr>
      <w:r>
        <w:t>7. Submission</w:t>
      </w:r>
    </w:p>
    <w:p>
      <w:pPr>
        <w:pStyle w:val="ListBullet"/>
      </w:pPr>
      <w:r>
        <w:t>Your workbook (TYL-model-&lt;your initials&gt;.xlsx) with the Checks tab showing ALL CHECKS OK.</w:t>
      </w:r>
    </w:p>
    <w:p>
      <w:pPr>
        <w:pStyle w:val="ListBullet"/>
      </w:pPr>
      <w:r>
        <w:t>Your memo (PDF or Word; three pages plus up to two pages of exhibits).</w:t>
      </w:r>
    </w:p>
    <w:p>
      <w:pPr>
        <w:pStyle w:val="ListBullet"/>
      </w:pPr>
      <w:r>
        <w:t>A list of every assumption that differs from the recent run-rate or from management's targets, with the reason.</w:t>
      </w:r>
    </w:p>
    <w:p>
      <w:r>
        <w:rPr>
          <w:i/>
          <w:color w:val="5B6475"/>
          <w:sz w:val="18"/>
        </w:rPr>
        <w:t>This case uses public information only (SEC filings, company releases and presentations, and market data as of 9 October 2026). It is a training exercise, not investment advice.</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475"/>
        <w:sz w:val="16"/>
      </w:rPr>
      <w:t xml:space="preserve">IC Simulator · Tyler Technologies (TYL) · Advanced (take-home 1–2 days) · Practice use only · Page </w:t>
    </w:r>
    <w:r>
      <w:rPr>
        <w:sz w:val="16"/>
      </w:rPr>
      <w:fldChar w:fldCharType="begin"/>
      <w:instrText xml:space="preserve">PAGE</w:instrText>
      <w:fldChar w:fldCharType="end"/>
    </w:r>
    <w:r>
      <w:rPr>
        <w:color w:val="5B6475"/>
        <w:sz w:val="16"/>
      </w:rPr>
      <w:t xml:space="preserve"> of </w:t>
    </w:r>
    <w:r>
      <w:rPr>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eastAsia="Georgia"/>
      <w:b/>
      <w:bCs/>
      <w:color w:val="1E3A5F"/>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Georgia" w:hAnsi="Georgia" w:eastAsia="Georgia"/>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Georgia" w:hAnsi="Georgia" w:eastAsia="Georgia"/>
      <w:b/>
      <w:bCs/>
      <w:color w:val="1E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Georgia" w:hAnsi="Georgia" w:eastAsia="Georgia"/>
      <w:b/>
      <w:color w:val="1E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