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Tyler Technologies: study guide</w:t>
      </w:r>
    </w:p>
    <w:p>
      <w:r>
        <w:rPr>
          <w:rFonts w:ascii="Georgia" w:hAnsi="Georgia"/>
          <w:color w:val="5B6475"/>
          <w:sz w:val="26"/>
        </w:rPr>
        <w:t>Concepts, a modeling walkthrough, common mistakes and interview questions</w:t>
      </w:r>
    </w:p>
    <w:tbl>
      <w:tblPr>
        <w:tblW w:type="auto" w:w="0"/>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2592"/>
        <w:gridCol w:w="6768"/>
      </w:tblGrid>
      <w:tr>
        <w:tc>
          <w:tcPr>
            <w:tcW w:type="dxa" w:w="2592"/>
            <w:shd w:val="clear" w:color="auto" w:fill="E4EAF3"/>
          </w:tcPr>
          <w:p>
            <w:r/>
            <w:r>
              <w:rPr>
                <w:b/>
                <w:sz w:val="19"/>
              </w:rPr>
              <w:t>Company</w:t>
            </w:r>
          </w:p>
        </w:tc>
        <w:tc>
          <w:tcPr>
            <w:tcW w:type="dxa" w:w="6768"/>
          </w:tcPr>
          <w:p>
            <w:r/>
            <w:r>
              <w:rPr>
                <w:sz w:val="19"/>
              </w:rPr>
              <w:t>Tyler Technologies, Inc. (NYSE: TYL) · Plano, Texas · calendar fiscal year</w:t>
            </w:r>
          </w:p>
        </w:tc>
      </w:tr>
      <w:tr>
        <w:tc>
          <w:tcPr>
            <w:tcW w:type="dxa" w:w="2592"/>
            <w:shd w:val="clear" w:color="auto" w:fill="E4EAF3"/>
          </w:tcPr>
          <w:p>
            <w:r/>
            <w:r>
              <w:rPr>
                <w:b/>
                <w:sz w:val="19"/>
              </w:rPr>
              <w:t>Case date</w:t>
            </w:r>
          </w:p>
        </w:tc>
        <w:tc>
          <w:tcPr>
            <w:tcW w:type="dxa" w:w="6768"/>
          </w:tcPr>
          <w:p>
            <w:r/>
            <w:r>
              <w:rPr>
                <w:sz w:val="19"/>
              </w:rPr>
              <w:t>Friday 9 October 2026 (market data as of the close). Latest filing: 10-Q for the six months to 30 June 2026.</w:t>
            </w:r>
          </w:p>
        </w:tc>
      </w:tr>
      <w:tr>
        <w:tc>
          <w:tcPr>
            <w:tcW w:type="dxa" w:w="2592"/>
            <w:shd w:val="clear" w:color="auto" w:fill="E4EAF3"/>
          </w:tcPr>
          <w:p>
            <w:r/>
            <w:r>
              <w:rPr>
                <w:b/>
                <w:sz w:val="19"/>
              </w:rPr>
              <w:t>Level</w:t>
            </w:r>
          </w:p>
        </w:tc>
        <w:tc>
          <w:tcPr>
            <w:tcW w:type="dxa" w:w="6768"/>
          </w:tcPr>
          <w:p>
            <w:r/>
            <w:r>
              <w:rPr>
                <w:sz w:val="19"/>
              </w:rPr>
              <w:t>Advanced (take-home, 1–2 days) · uncalibrated</w:t>
            </w:r>
          </w:p>
        </w:tc>
      </w:tr>
      <w:tr>
        <w:tc>
          <w:tcPr>
            <w:tcW w:type="dxa" w:w="2592"/>
            <w:shd w:val="clear" w:color="auto" w:fill="E4EAF3"/>
          </w:tcPr>
          <w:p>
            <w:r/>
            <w:r>
              <w:rPr>
                <w:b/>
                <w:sz w:val="19"/>
              </w:rPr>
              <w:t>Materials</w:t>
            </w:r>
          </w:p>
        </w:tc>
        <w:tc>
          <w:tcPr>
            <w:tcW w:type="dxa" w:w="6768"/>
          </w:tcPr>
          <w:p>
            <w:r/>
            <w:r>
              <w:rPr>
                <w:sz w:val="19"/>
              </w:rPr>
              <w:t>TYL-student-model-template.xlsx; this brief; the study guide; public SEC filings (links in the template Cover and the study guide)</w:t>
            </w:r>
          </w:p>
        </w:tc>
      </w:tr>
    </w:tbl>
    <w:p>
      <w:pPr>
        <w:spacing w:after="40"/>
      </w:pPr>
    </w:p>
    <w:p>
      <w:r>
        <w:rPr>
          <w:i/>
        </w:rPr>
        <w:t>Read this before you start. It explains what the case tests and how a strong candidate approaches it. It does not give you the answer: the valuation and the recommendation are yours.</w:t>
      </w:r>
    </w:p>
    <w:p>
      <w:pPr>
        <w:pStyle w:val="Heading1"/>
      </w:pPr>
      <w:r>
        <w:t>1. Concepts this case tests</w:t>
      </w:r>
    </w:p>
    <w:p>
      <w:pPr>
        <w:pStyle w:val="Heading2"/>
      </w:pPr>
      <w:r>
        <w:t>1.1 The SaaS transition</w:t>
      </w:r>
    </w:p>
    <w:p>
      <w:r>
        <w:rPr>
          <w:i w:val="0"/>
        </w:rPr>
        <w:t>For two decades Tyler sold perpetual licences (cash up front) plus annual maintenance. It now sells SaaS: an annual subscription that includes hosting, upgrades and support. Moving a client from maintenance to SaaS replaces a maintenance stream with a larger subscription stream, but the transition has costs.</w:t>
      </w:r>
    </w:p>
    <w:p>
      <w:pPr>
        <w:pStyle w:val="ListBullet"/>
      </w:pPr>
      <w:r>
        <w:rPr>
          <w:b/>
        </w:rPr>
        <w:t xml:space="preserve">Revenue mix. </w:t>
      </w:r>
      <w:r>
        <w:t>SaaS ÷ (SaaS + maintenance) rose from 47.8% in FY22 to 63.6% in FY25 and 67.8% in 1H26. Licence revenue has almost disappeared (software licences, hardware and other fell from $92M in FY22 to $58M in FY25). Management targets more than 85% of maintenance converted by 2030 (Investor Day, 9 June 2026).</w:t>
      </w:r>
    </w:p>
    <w:p>
      <w:pPr>
        <w:pStyle w:val="ListBullet"/>
      </w:pPr>
      <w:r>
        <w:rPr>
          <w:b/>
        </w:rPr>
        <w:t xml:space="preserve">Margins. </w:t>
      </w:r>
      <w:r>
        <w:t>Hosting costs (Tyler is moving data centres to AWS) depress SaaS gross margin early and improve with scale. GAAP gross margin rose from 42.4% in FY22 to 46.5% in FY25. Management's 59–60% 2030 target is non-GAAP (it excludes SBC and amortisation of acquired software), so do not compare it with a GAAP margin.</w:t>
      </w:r>
    </w:p>
    <w:p>
      <w:pPr>
        <w:pStyle w:val="ListBullet"/>
      </w:pPr>
      <w:r>
        <w:rPr>
          <w:b/>
        </w:rPr>
        <w:t xml:space="preserve">Growth optics. </w:t>
      </w:r>
      <w:r>
        <w:t>A conversion lifts SaaS growth and depresses maintenance at the same time. Judge the transition on recurring revenue (and on ARR), not on SaaS growth alone.</w:t>
      </w:r>
    </w:p>
    <w:p>
      <w:pPr>
        <w:pStyle w:val="ListBullet"/>
      </w:pPr>
      <w:r>
        <w:rPr>
          <w:b/>
        </w:rPr>
        <w:t xml:space="preserve">The end state. </w:t>
      </w:r>
      <w:r>
        <w:t>Once conversion is mostly done, SaaS growth slows towards new-client and price growth. Your FY28E–FY30E SaaS growth rates, and the terminal growth rate, have to be consistent with that.</w:t>
      </w:r>
    </w:p>
    <w:p>
      <w:pPr>
        <w:pStyle w:val="Heading2"/>
      </w:pPr>
      <w:r>
        <w:t>1.2 Deferred revenue and why cash leads earnings</w:t>
      </w:r>
    </w:p>
    <w:p>
      <w:r>
        <w:rPr>
          <w:i w:val="0"/>
        </w:rPr>
        <w:t>Tyler bills most SaaS and maintenance contracts annually in advance. The unearned part sits on the balance sheet as deferred revenue ($802M in total at FY25), and 97% of current deferred revenue at FY25 was expected to be recognised within 12 months. Current deferred revenue has been a stable 63.4%–63.8% of annual SaaS + maintenance revenue (FY22–FY25).</w:t>
      </w:r>
    </w:p>
    <w:p>
      <w:pPr>
        <w:pStyle w:val="ListBullet"/>
      </w:pPr>
      <w:r>
        <w:rPr>
          <w:b/>
        </w:rPr>
        <w:t xml:space="preserve">Cash flow consequence. </w:t>
      </w:r>
      <w:r>
        <w:t>As the billed base grows, deferred revenue grows with it and the increase is an operating cash inflow. That is one reason Tyler's free cash flow exceeds its net income. Drive deferred revenue off the billed-in-advance base, not off total revenue.</w:t>
      </w:r>
    </w:p>
    <w:p>
      <w:pPr>
        <w:pStyle w:val="ListBullet"/>
      </w:pPr>
      <w:r>
        <w:rPr>
          <w:b/>
        </w:rPr>
        <w:t xml:space="preserve">Seasonality. </w:t>
      </w:r>
      <w:r>
        <w:t>Many government contracts renew around fiscal year-ends, so receivables and deferred revenue move within the year. Compare December with December and June with June.</w:t>
      </w:r>
    </w:p>
    <w:p>
      <w:pPr>
        <w:pStyle w:val="ListBullet"/>
      </w:pPr>
      <w:r>
        <w:rPr>
          <w:b/>
        </w:rPr>
        <w:t xml:space="preserve">RPO. </w:t>
      </w:r>
      <w:r>
        <w:t>Remaining performance obligations (contracted revenue not yet recognised) are the broader backlog measure. Deferred revenue is only the billed part.</w:t>
      </w:r>
    </w:p>
    <w:p>
      <w:pPr>
        <w:pStyle w:val="Heading2"/>
      </w:pPr>
      <w:r>
        <w:t>1.3 ARR: useful, but read the definition</w:t>
      </w:r>
    </w:p>
    <w:p>
      <w:r>
        <w:rPr>
          <w:i w:val="0"/>
        </w:rPr>
        <w:t>Tyler defines ARR as the current quarter's recurring revenue (SaaS + transaction-based fees + maintenance) × 4: about $2,238M at 2Q26 on the filed figures, versus the reported $2.24bn. Two things follow. First, transaction-based fees ($808M in FY25) depend on payment and filing volumes; they recur but are not contracted. Second, quarterly seasonality in transaction fees flows straight into ARR. The Quarterly tab rebuilds ARR for ten quarters so you can see both effects.</w:t>
      </w:r>
    </w:p>
    <w:p>
      <w:pPr>
        <w:pStyle w:val="Heading2"/>
      </w:pPr>
      <w:r>
        <w:t>1.4 Share-based compensation and non-GAAP measures</w:t>
      </w:r>
    </w:p>
    <w:p>
      <w:pPr>
        <w:pStyle w:val="ListBullet"/>
      </w:pPr>
      <w:r>
        <w:rPr>
          <w:b/>
        </w:rPr>
        <w:t xml:space="preserve">Size. </w:t>
      </w:r>
      <w:r>
        <w:t>SBC was $151M in FY25 (6.5% of revenue). Tyler's non-GAAP EPS and adjusted EBITDA add it back, together with amortisation of acquired intangibles.</w:t>
      </w:r>
    </w:p>
    <w:p>
      <w:pPr>
        <w:pStyle w:val="ListBullet"/>
      </w:pPr>
      <w:r>
        <w:rPr>
          <w:b/>
        </w:rPr>
        <w:t xml:space="preserve">Valuation. </w:t>
      </w:r>
      <w:r>
        <w:t>SBC is a real cost: employees are paid in shares instead of cash. A DCF that adds it back to UFCF and divides by today's share count values the company as if the dilution never happens. Either treat it as a cash cost (the convention in this case) or add it back and forecast the shares it creates; never neither.</w:t>
      </w:r>
    </w:p>
    <w:p>
      <w:pPr>
        <w:pStyle w:val="ListBullet"/>
      </w:pPr>
      <w:r>
        <w:rPr>
          <w:b/>
        </w:rPr>
        <w:t xml:space="preserve">Comps. </w:t>
      </w:r>
      <w:r>
        <w:t>Multiples must be on the same basis. The comps in the template use GAAP EBITDA for every company; if you use Tyler's adjusted EBITDA you must adjust the peers too. Note how GAAP EBITDA margins vary across software peers and what that does to EV/EBITDA.</w:t>
      </w:r>
    </w:p>
    <w:p>
      <w:pPr>
        <w:pStyle w:val="Heading2"/>
      </w:pPr>
      <w:r>
        <w:t>1.5 Convertible notes, capped calls and net share settlement</w:t>
      </w:r>
    </w:p>
    <w:p>
      <w:r>
        <w:rPr>
          <w:i w:val="0"/>
        </w:rPr>
        <w:t>In May 2026 Tyler issued $1,437.5M of 0.50% convertible senior notes due July 2031. Each $1,000 note converts into 2.4634 shares (a $405.94 conversion price). Tyler also bought capped calls (cost $187.2M) that offset dilution up to $655.77.</w:t>
      </w:r>
    </w:p>
    <w:p>
      <w:pPr>
        <w:pStyle w:val="ListBullet"/>
      </w:pPr>
      <w:r>
        <w:rPr>
          <w:b/>
        </w:rPr>
        <w:t xml:space="preserve">Accounting. </w:t>
      </w:r>
      <w:r>
        <w:t>Under ASU 2020-06 the notes are carried as a single liability at principal less unamortised issuance costs, which accrete into interest expense. The low coupon is not the economic cost of borrowing: investors accepted it because they own a call option on the stock.</w:t>
      </w:r>
    </w:p>
    <w:p>
      <w:pPr>
        <w:pStyle w:val="ListBullet"/>
      </w:pPr>
      <w:r>
        <w:rPr>
          <w:b/>
        </w:rPr>
        <w:t xml:space="preserve">Net share settlement. </w:t>
      </w:r>
      <w:r>
        <w:t>Tyler intends to settle the principal in cash and pay only the in-the-money value in shares. Below $405.94 there is no dilution; above it, new shares = shares underlying × (P − 405.94) ÷ P. The capped call delivers shares back to Tyler between $405.94 and $655.77.</w:t>
      </w:r>
    </w:p>
    <w:p>
      <w:pPr>
        <w:pStyle w:val="ListBullet"/>
      </w:pPr>
      <w:r>
        <w:rPr>
          <w:b/>
        </w:rPr>
        <w:t xml:space="preserve">In valuation. </w:t>
      </w:r>
      <w:r>
        <w:t>Deduct the principal as debt in the equity bridge (it must be repaid in cash) and add conversion shares only if, and to the extent that, the stock is above the conversion price. For WACC use a straight-debt cost of debt (what Tyler would pay without the option), not the coupon.</w:t>
      </w:r>
    </w:p>
    <w:p>
      <w:pPr>
        <w:pStyle w:val="Heading2"/>
      </w:pPr>
      <w:r>
        <w:t>1.6 Levered buybacks</w:t>
      </w:r>
    </w:p>
    <w:p>
      <w:r>
        <w:rPr>
          <w:i w:val="0"/>
        </w:rPr>
        <w:t>A buyback creates value for continuing shareholders only if the price paid is below intrinsic value. Tyler borrowed (via the convertible) to buy back stock and still holds substantial cash. Assess three things: the price paid versus your DCF; the change from net cash to net debt and what that does to WACC and flexibility; and the effect on EPS (higher, mechanically) versus value per share (unchanged if bought at fair value). The 2026 10b5-1 plans (8-Ks of 12 June and 15 September 2026) tell you buying continued after 30 June; the amounts are not yet disclosed.</w:t>
      </w:r>
    </w:p>
    <w:p>
      <w:pPr>
        <w:pStyle w:val="Heading2"/>
      </w:pPr>
      <w:r>
        <w:t>1.7 The remeasurement gain</w:t>
      </w:r>
    </w:p>
    <w:p>
      <w:r>
        <w:rPr>
          <w:i w:val="0"/>
        </w:rPr>
        <w:t>When Tyler bought the rest of For The Record in April 2026 it had to revalue the stake it already owned to fair value, booking a $25.0M non-cash gain in other income. It is real accounting, but it is not operating income and will not recur: exclude it from EBITDA, from forecast EPS beyond FY26E, and from UFCF.</w:t>
      </w:r>
    </w:p>
    <w:p>
      <w:pPr>
        <w:pStyle w:val="Heading2"/>
      </w:pPr>
      <w:r>
        <w:t>1.8 Valuation mechanics you must get right</w:t>
      </w:r>
    </w:p>
    <w:p>
      <w:pPr>
        <w:pStyle w:val="ListBullet"/>
      </w:pPr>
      <w:r>
        <w:rPr>
          <w:b/>
        </w:rPr>
        <w:t xml:space="preserve">Stub period. </w:t>
      </w:r>
      <w:r>
        <w:t>Balance sheet at 30 June 2026: the first cash flow is 2H26 = FY26E UFCF − 1H26 actual UFCF. 1H26 includes the For The Record acquisition, which is why the stub can be larger than FY26E.</w:t>
      </w:r>
    </w:p>
    <w:p>
      <w:pPr>
        <w:pStyle w:val="ListBullet"/>
      </w:pPr>
      <w:r>
        <w:rPr>
          <w:b/>
        </w:rPr>
        <w:t xml:space="preserve">Mid-period discounting and roll-forward. </w:t>
      </w:r>
      <w:r>
        <w:t>Discount each year at its midpoint; roll the 30 June value to 9 October at the cost of equity (no dividends to deduct).</w:t>
      </w:r>
    </w:p>
    <w:p>
      <w:pPr>
        <w:pStyle w:val="ListBullet"/>
      </w:pPr>
      <w:r>
        <w:rPr>
          <w:b/>
        </w:rPr>
        <w:t xml:space="preserve">WACC. </w:t>
      </w:r>
      <w:r>
        <w:t>CAPM with an ERP paired with the risk-free rate it was estimated over; unlever peer betas (Hamada), take the median and relever at Tyler's market leverage. Tyler's own beta is unusually low over the last two years: decide whether you trust it.</w:t>
      </w:r>
    </w:p>
    <w:p>
      <w:pPr>
        <w:pStyle w:val="ListBullet"/>
      </w:pPr>
      <w:r>
        <w:rPr>
          <w:b/>
        </w:rPr>
        <w:t xml:space="preserve">Terminal value. </w:t>
      </w:r>
      <w:r>
        <w:t>For a growing software company the terminal value is most of EV. Cross-check the Gordon TV's implied exit multiple against the peers and the exit TV's implied growth against the economy.</w:t>
      </w:r>
    </w:p>
    <w:p>
      <w:pPr>
        <w:pStyle w:val="ListBullet"/>
      </w:pPr>
      <w:r>
        <w:rPr>
          <w:b/>
        </w:rPr>
        <w:t xml:space="preserve">Reverse DCF. </w:t>
      </w:r>
      <w:r>
        <w:t>Solve for the growth or multiple that equates the DCF to $329.55. For a stock that has fallen 37% this separates "cheap" from "re-rated".</w:t>
      </w:r>
    </w:p>
    <w:p>
      <w:pPr>
        <w:pStyle w:val="Heading1"/>
      </w:pPr>
      <w:r>
        <w:t>2. Modeling walkthrough</w:t>
      </w:r>
    </w:p>
    <w:p>
      <w:pPr>
        <w:pStyle w:val="ListNumber"/>
      </w:pPr>
      <w:r>
        <w:t>Read the Cover, then confirm every historical tie on the Checks tab is OK, including the Quarterly tab's ARR tie to the reported $2.24bn.</w:t>
      </w:r>
    </w:p>
    <w:p>
      <w:pPr>
        <w:pStyle w:val="ListNumber"/>
      </w:pPr>
      <w:r>
        <w:t>Practice tab: work the ten warm-up drills first (instant Correct / Not yet feedback; historical data and generic mechanics only).</w:t>
      </w:r>
    </w:p>
    <w:p>
      <w:pPr>
        <w:pStyle w:val="ListNumber"/>
      </w:pPr>
      <w:r>
        <w:t>Inputs: for each driver read the history beside it. Set SaaS, transaction-fee, maintenance and services growth; cost ratios (gross margin rising with SaaS scale, operating leverage in G&amp;A); amortisation schedules; SBC; tax; working-capital ratios; buybacks and the minimum cash balance.</w:t>
      </w:r>
    </w:p>
    <w:p>
      <w:pPr>
        <w:pStyle w:val="ListNumber"/>
      </w:pPr>
      <w:r>
        <w:t>Revenue &amp; ARR build: line-by-line revenue, recurring share, conversion measure, DSO and deferred revenue on the billed base.</w:t>
      </w:r>
    </w:p>
    <w:p>
      <w:pPr>
        <w:pStyle w:val="ListNumber"/>
      </w:pPr>
      <w:r>
        <w:t>Income statement: costs, amortisation, operating income, interest from the debt schedule, the FY26E gain (1H actual only), tax, share count after buybacks, EPS with and without the gain.</w:t>
      </w:r>
    </w:p>
    <w:p>
      <w:pPr>
        <w:pStyle w:val="ListNumber"/>
      </w:pPr>
      <w:r>
        <w:t>Balance sheet: receivables, deferred revenue, payables and accruals from ratios; capitalised software and PP&amp;E roll-forwards; goodwill and intangibles; the convertible at carrying value.</w:t>
      </w:r>
    </w:p>
    <w:p>
      <w:pPr>
        <w:pStyle w:val="ListNumber"/>
      </w:pPr>
      <w:r>
        <w:t>Cash flow: derive every operating line from balance-sheet changes; buybacks and employee share issuance in financing; check company-defined FCF against the 26–28% FY26 guidance.</w:t>
      </w:r>
    </w:p>
    <w:p>
      <w:pPr>
        <w:pStyle w:val="ListNumber"/>
      </w:pPr>
      <w:r>
        <w:t>Debt: notes accretion and coupon; revolver draws only below minimum cash; interest on opening balances (no circularity).</w:t>
      </w:r>
    </w:p>
    <w:p>
      <w:pPr>
        <w:pStyle w:val="ListNumber"/>
      </w:pPr>
      <w:r>
        <w:t>DCF: UFCF (no SBC add-back), WACC, stub, both terminal values, then the bridge: + cash and investments − convertible principal + other investments, divided by diluted shares; roll forward.</w:t>
      </w:r>
    </w:p>
    <w:p>
      <w:pPr>
        <w:pStyle w:val="ListNumber"/>
      </w:pPr>
      <w:r>
        <w:t>Comps: check each peer's LTM period (Guidewire's fiscal year ends in July; Veeva's in January) and flag any multiple distorted by one-off gains.</w:t>
      </w:r>
    </w:p>
    <w:p>
      <w:pPr>
        <w:pStyle w:val="ListNumber"/>
      </w:pPr>
      <w:r>
        <w:t>Sensitivities, football field, convertible and buyback analysis. Decide the call, then write.</w:t>
      </w:r>
    </w:p>
    <w:p>
      <w:pPr>
        <w:pStyle w:val="Heading1"/>
      </w:pPr>
      <w:r>
        <w:t>3. Common mistakes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3456"/>
        <w:gridCol w:w="5903"/>
      </w:tblGrid>
      <w:tr>
        <w:tc>
          <w:tcPr>
            <w:tcW w:type="dxa" w:w="3456"/>
            <w:shd w:val="clear" w:color="auto" w:fill="1E3A5F"/>
          </w:tcPr>
          <w:p>
            <w:r/>
            <w:r>
              <w:rPr>
                <w:b/>
                <w:color w:val="FFFFFF"/>
                <w:sz w:val="18"/>
              </w:rPr>
              <w:t>Mistake</w:t>
            </w:r>
          </w:p>
        </w:tc>
        <w:tc>
          <w:tcPr>
            <w:tcW w:type="dxa" w:w="5904"/>
            <w:shd w:val="clear" w:color="auto" w:fill="1E3A5F"/>
          </w:tcPr>
          <w:p>
            <w:r/>
            <w:r>
              <w:rPr>
                <w:b/>
                <w:color w:val="FFFFFF"/>
                <w:sz w:val="18"/>
              </w:rPr>
              <w:t>Why it matters / what to do</w:t>
            </w:r>
          </w:p>
        </w:tc>
      </w:tr>
      <w:tr>
        <w:tc>
          <w:tcPr>
            <w:tcW w:type="dxa" w:w="3456"/>
          </w:tcPr>
          <w:p>
            <w:r/>
            <w:r>
              <w:rPr>
                <w:sz w:val="18"/>
              </w:rPr>
              <w:t>Adding back SBC to UFCF without modelling dilution</w:t>
            </w:r>
          </w:p>
        </w:tc>
        <w:tc>
          <w:tcPr>
            <w:tcW w:type="dxa" w:w="5904"/>
          </w:tcPr>
          <w:p>
            <w:r/>
            <w:r>
              <w:rPr>
                <w:sz w:val="18"/>
              </w:rPr>
              <w:t>Overstates value by the present value of a recurring cost of roughly 6% of revenue.</w:t>
            </w:r>
          </w:p>
        </w:tc>
      </w:tr>
      <w:tr>
        <w:tc>
          <w:tcPr>
            <w:tcW w:type="dxa" w:w="3456"/>
          </w:tcPr>
          <w:p>
            <w:r/>
            <w:r>
              <w:rPr>
                <w:sz w:val="18"/>
              </w:rPr>
              <w:t>Using adjusted EBITDA for Tyler and GAAP EBITDA for peers</w:t>
            </w:r>
          </w:p>
        </w:tc>
        <w:tc>
          <w:tcPr>
            <w:tcW w:type="dxa" w:w="5904"/>
          </w:tcPr>
          <w:p>
            <w:r/>
            <w:r>
              <w:rPr>
                <w:sz w:val="18"/>
              </w:rPr>
              <w:t>Makes Tyler look cheaper than it is. Use one basis for everyone.</w:t>
            </w:r>
          </w:p>
        </w:tc>
      </w:tr>
      <w:tr>
        <w:tc>
          <w:tcPr>
            <w:tcW w:type="dxa" w:w="3456"/>
          </w:tcPr>
          <w:p>
            <w:r/>
            <w:r>
              <w:rPr>
                <w:sz w:val="18"/>
              </w:rPr>
              <w:t>Using the 0.50% coupon as the cost of debt</w:t>
            </w:r>
          </w:p>
        </w:tc>
        <w:tc>
          <w:tcPr>
            <w:tcW w:type="dxa" w:w="5904"/>
          </w:tcPr>
          <w:p>
            <w:r/>
            <w:r>
              <w:rPr>
                <w:sz w:val="18"/>
              </w:rPr>
              <w:t>The coupon is low because investors own a call option. A near-zero Kd understates WACC.</w:t>
            </w:r>
          </w:p>
        </w:tc>
      </w:tr>
      <w:tr>
        <w:tc>
          <w:tcPr>
            <w:tcW w:type="dxa" w:w="3456"/>
          </w:tcPr>
          <w:p>
            <w:r/>
            <w:r>
              <w:rPr>
                <w:sz w:val="18"/>
              </w:rPr>
              <w:t>Ignoring the convertible, or adding all conversion shares</w:t>
            </w:r>
          </w:p>
        </w:tc>
        <w:tc>
          <w:tcPr>
            <w:tcW w:type="dxa" w:w="5904"/>
          </w:tcPr>
          <w:p>
            <w:r/>
            <w:r>
              <w:rPr>
                <w:sz w:val="18"/>
              </w:rPr>
              <w:t>Below $405.94 with net share settlement, deduct principal and add no shares. Treating the notes as equity with no extra shares overstates value per share.</w:t>
            </w:r>
          </w:p>
        </w:tc>
      </w:tr>
      <w:tr>
        <w:tc>
          <w:tcPr>
            <w:tcW w:type="dxa" w:w="3456"/>
          </w:tcPr>
          <w:p>
            <w:r/>
            <w:r>
              <w:rPr>
                <w:sz w:val="18"/>
              </w:rPr>
              <w:t>Forecasting SaaS growth without the maintenance decline</w:t>
            </w:r>
          </w:p>
        </w:tc>
        <w:tc>
          <w:tcPr>
            <w:tcW w:type="dxa" w:w="5904"/>
          </w:tcPr>
          <w:p>
            <w:r/>
            <w:r>
              <w:rPr>
                <w:sz w:val="18"/>
              </w:rPr>
              <w:t>Conversion moves revenue from one line to another. Forecast both and check recurring growth.</w:t>
            </w:r>
          </w:p>
        </w:tc>
      </w:tr>
      <w:tr>
        <w:tc>
          <w:tcPr>
            <w:tcW w:type="dxa" w:w="3456"/>
          </w:tcPr>
          <w:p>
            <w:r/>
            <w:r>
              <w:rPr>
                <w:sz w:val="18"/>
              </w:rPr>
              <w:t>Treating ARR as contracted revenue</w:t>
            </w:r>
          </w:p>
        </w:tc>
        <w:tc>
          <w:tcPr>
            <w:tcW w:type="dxa" w:w="5904"/>
          </w:tcPr>
          <w:p>
            <w:r/>
            <w:r>
              <w:rPr>
                <w:sz w:val="18"/>
              </w:rPr>
              <w:t>Tyler's ARR includes volume-based transaction fees and is a run-rate, not a backlog.</w:t>
            </w:r>
          </w:p>
        </w:tc>
      </w:tr>
      <w:tr>
        <w:tc>
          <w:tcPr>
            <w:tcW w:type="dxa" w:w="3456"/>
          </w:tcPr>
          <w:p>
            <w:r/>
            <w:r>
              <w:rPr>
                <w:sz w:val="18"/>
              </w:rPr>
              <w:t>Driving deferred revenue off total revenue</w:t>
            </w:r>
          </w:p>
        </w:tc>
        <w:tc>
          <w:tcPr>
            <w:tcW w:type="dxa" w:w="5904"/>
          </w:tcPr>
          <w:p>
            <w:r/>
            <w:r>
              <w:rPr>
                <w:sz w:val="18"/>
              </w:rPr>
              <w:t>Only SaaS and maintenance are billed in advance; services and transaction fees are not.</w:t>
            </w:r>
          </w:p>
        </w:tc>
      </w:tr>
      <w:tr>
        <w:tc>
          <w:tcPr>
            <w:tcW w:type="dxa" w:w="3456"/>
          </w:tcPr>
          <w:p>
            <w:r/>
            <w:r>
              <w:rPr>
                <w:sz w:val="18"/>
              </w:rPr>
              <w:t>Leaving the remeasurement gain in recurring earnings</w:t>
            </w:r>
          </w:p>
        </w:tc>
        <w:tc>
          <w:tcPr>
            <w:tcW w:type="dxa" w:w="5904"/>
          </w:tcPr>
          <w:p>
            <w:r/>
            <w:r>
              <w:rPr>
                <w:sz w:val="18"/>
              </w:rPr>
              <w:t>It is a one-off, non-cash gain in FY26E only.</w:t>
            </w:r>
          </w:p>
        </w:tc>
      </w:tr>
      <w:tr>
        <w:tc>
          <w:tcPr>
            <w:tcW w:type="dxa" w:w="3456"/>
          </w:tcPr>
          <w:p>
            <w:r/>
            <w:r>
              <w:rPr>
                <w:sz w:val="18"/>
              </w:rPr>
              <w:t>Hard-coding LTM or peer multiples</w:t>
            </w:r>
          </w:p>
        </w:tc>
        <w:tc>
          <w:tcPr>
            <w:tcW w:type="dxa" w:w="5904"/>
          </w:tcPr>
          <w:p>
            <w:r/>
            <w:r>
              <w:rPr>
                <w:sz w:val="18"/>
              </w:rPr>
              <w:t>LTM must be FY + YTD − prior YTD as a formula; check fiscal-year ends and one-off gains (Roper).</w:t>
            </w:r>
          </w:p>
        </w:tc>
      </w:tr>
      <w:tr>
        <w:tc>
          <w:tcPr>
            <w:tcW w:type="dxa" w:w="3456"/>
          </w:tcPr>
          <w:p>
            <w:r/>
            <w:r>
              <w:rPr>
                <w:sz w:val="18"/>
              </w:rPr>
              <w:t>Recommendation not tied to numbers</w:t>
            </w:r>
          </w:p>
        </w:tc>
        <w:tc>
          <w:tcPr>
            <w:tcW w:type="dxa" w:w="5904"/>
          </w:tcPr>
          <w:p>
            <w:r/>
            <w:r>
              <w:rPr>
                <w:sz w:val="18"/>
              </w:rPr>
              <w:t>A call needs a price target, an implied return and a priced-in analysis.</w:t>
            </w:r>
          </w:p>
        </w:tc>
      </w:tr>
    </w:tbl>
    <w:p>
      <w:pPr>
        <w:spacing w:after="40"/>
      </w:pPr>
    </w:p>
    <w:p>
      <w:pPr>
        <w:pStyle w:val="Heading1"/>
      </w:pPr>
      <w:r>
        <w:t>4. Interview questions</w:t>
      </w:r>
    </w:p>
    <w:p>
      <w:r>
        <w:rPr>
          <w:b/>
        </w:rPr>
        <w:t xml:space="preserve">Q1. </w:t>
      </w:r>
      <w:r>
        <w:rPr>
          <w:i w:val="0"/>
        </w:rPr>
        <w:t>Walk me through Tyler's business model.</w:t>
      </w:r>
    </w:p>
    <w:p>
      <w:pPr>
        <w:ind w:left="432"/>
      </w:pPr>
      <w:r>
        <w:rPr>
          <w:i w:val="0"/>
        </w:rPr>
        <w:t>Tyler sells mission-critical software to state and local governments, courts and schools, mostly on multi-year subscriptions billed annually in advance, plus payment-processing and filing fees and implementation services. Revenue is about 87% recurring and client retention is high.</w:t>
      </w:r>
    </w:p>
    <w:p>
      <w:r>
        <w:rPr>
          <w:b/>
        </w:rPr>
        <w:t xml:space="preserve">Q2. </w:t>
      </w:r>
      <w:r>
        <w:rPr>
          <w:i w:val="0"/>
        </w:rPr>
        <w:t>What happens to revenue and margins when a client converts from maintenance to SaaS?</w:t>
      </w:r>
    </w:p>
    <w:p>
      <w:pPr>
        <w:ind w:left="432"/>
      </w:pPr>
      <w:r>
        <w:rPr>
          <w:i w:val="0"/>
        </w:rPr>
        <w:t>Maintenance revenue stops and a larger SaaS subscription begins, so recurring revenue per client rises. Gross margin is lower at first because Tyler now pays for hosting, then improves with scale and data-centre migration.</w:t>
      </w:r>
    </w:p>
    <w:p>
      <w:r>
        <w:rPr>
          <w:b/>
        </w:rPr>
        <w:t xml:space="preserve">Q3. </w:t>
      </w:r>
      <w:r>
        <w:rPr>
          <w:i w:val="0"/>
        </w:rPr>
        <w:t>Why does Tyler's free cash flow exceed net income?</w:t>
      </w:r>
    </w:p>
    <w:p>
      <w:pPr>
        <w:ind w:left="432"/>
      </w:pPr>
      <w:r>
        <w:rPr>
          <w:i w:val="0"/>
        </w:rPr>
        <w:t>Non-cash charges (D&amp;A, amortisation of acquired intangibles and SBC) and a growing deferred-revenue balance (cash billed before revenue is recognised), with modest capex.</w:t>
      </w:r>
    </w:p>
    <w:p>
      <w:r>
        <w:rPr>
          <w:b/>
        </w:rPr>
        <w:t xml:space="preserve">Q4. </w:t>
      </w:r>
      <w:r>
        <w:rPr>
          <w:i w:val="0"/>
        </w:rPr>
        <w:t>How is Tyler's ARR defined and what are its limitations?</w:t>
      </w:r>
    </w:p>
    <w:p>
      <w:pPr>
        <w:ind w:left="432"/>
      </w:pPr>
      <w:r>
        <w:rPr>
          <w:i w:val="0"/>
        </w:rPr>
        <w:t>Current-quarter recurring revenue × 4. It includes volume-based transaction fees, is affected by quarterly seasonality and is not contracted backlog; compare it with RPO and deferred revenue.</w:t>
      </w:r>
    </w:p>
    <w:p>
      <w:r>
        <w:rPr>
          <w:b/>
        </w:rPr>
        <w:t xml:space="preserve">Q5. </w:t>
      </w:r>
      <w:r>
        <w:rPr>
          <w:i w:val="0"/>
        </w:rPr>
        <w:t>Should you add back SBC in a DCF?</w:t>
      </w:r>
    </w:p>
    <w:p>
      <w:pPr>
        <w:ind w:left="432"/>
      </w:pPr>
      <w:r>
        <w:rPr>
          <w:i w:val="0"/>
        </w:rPr>
        <w:t>Only if you also forecast the shares it creates. Otherwise treat it as a cash cost; adding it back and dividing by today's share count overstates value.</w:t>
      </w:r>
    </w:p>
    <w:p>
      <w:r>
        <w:rPr>
          <w:b/>
        </w:rPr>
        <w:t xml:space="preserve">Q6. </w:t>
      </w:r>
      <w:r>
        <w:rPr>
          <w:i w:val="0"/>
        </w:rPr>
        <w:t>Tyler trades at about 27x LTM GAAP EBITDA and Veeva at about 38x. Is Tyler cheap?</w:t>
      </w:r>
    </w:p>
    <w:p>
      <w:pPr>
        <w:ind w:left="432"/>
      </w:pPr>
      <w:r>
        <w:rPr>
          <w:i w:val="0"/>
        </w:rPr>
        <w:t>Not necessarily: compare growth, margins (Veeva's GAAP EBITDA margin is about 31%, Tyler's about 21%), balance sheets and the basis of EBITDA. EV/revenue and growth-adjusted multiples help.</w:t>
      </w:r>
    </w:p>
    <w:p>
      <w:r>
        <w:rPr>
          <w:b/>
        </w:rPr>
        <w:t xml:space="preserve">Q7. </w:t>
      </w:r>
      <w:r>
        <w:rPr>
          <w:i w:val="0"/>
        </w:rPr>
        <w:t>Explain a convertible note with a capped call.</w:t>
      </w:r>
    </w:p>
    <w:p>
      <w:pPr>
        <w:ind w:left="432"/>
      </w:pPr>
      <w:r>
        <w:rPr>
          <w:i w:val="0"/>
        </w:rPr>
        <w:t>A bond with a low coupon plus an option to convert into shares at a premium. The issuer buys a call spread (capped call) that offsets dilution between the conversion price and the cap, so the effective conversion price rises to the cap.</w:t>
      </w:r>
    </w:p>
    <w:p>
      <w:r>
        <w:rPr>
          <w:b/>
        </w:rPr>
        <w:t xml:space="preserve">Q8. </w:t>
      </w:r>
      <w:r>
        <w:rPr>
          <w:i w:val="0"/>
        </w:rPr>
        <w:t>What is net share settlement and how does it change the share count?</w:t>
      </w:r>
    </w:p>
    <w:p>
      <w:pPr>
        <w:ind w:left="432"/>
      </w:pPr>
      <w:r>
        <w:rPr>
          <w:i w:val="0"/>
        </w:rPr>
        <w:t>The issuer pays the principal in cash and only the conversion value above principal in shares. New shares = shares underlying × (P − K) ÷ P, zero below the conversion price.</w:t>
      </w:r>
    </w:p>
    <w:p>
      <w:r>
        <w:rPr>
          <w:b/>
        </w:rPr>
        <w:t xml:space="preserve">Q9. </w:t>
      </w:r>
      <w:r>
        <w:rPr>
          <w:i w:val="0"/>
        </w:rPr>
        <w:t>What cost of debt do you use for a convertible in WACC?</w:t>
      </w:r>
    </w:p>
    <w:p>
      <w:pPr>
        <w:ind w:left="432"/>
      </w:pPr>
      <w:r>
        <w:rPr>
          <w:i w:val="0"/>
        </w:rPr>
        <w:t>The yield on equivalent straight debt (rated peers' bond yields or the revolver rate plus a term spread), not the coupon, which is depressed by the embedded option.</w:t>
      </w:r>
    </w:p>
    <w:p>
      <w:r>
        <w:rPr>
          <w:b/>
        </w:rPr>
        <w:t xml:space="preserve">Q10. </w:t>
      </w:r>
      <w:r>
        <w:rPr>
          <w:i w:val="0"/>
        </w:rPr>
        <w:t>Tyler borrowed to buy back stock. Did that create value?</w:t>
      </w:r>
    </w:p>
    <w:p>
      <w:pPr>
        <w:ind w:left="432"/>
      </w:pPr>
      <w:r>
        <w:rPr>
          <w:i w:val="0"/>
        </w:rPr>
        <w:t>Only if it bought below intrinsic value. EPS rises mechanically, but value per share rises only if the price paid was below value; it also moves Tyler from net cash to net debt, raising risk.</w:t>
      </w:r>
    </w:p>
    <w:p>
      <w:r>
        <w:rPr>
          <w:b/>
        </w:rPr>
        <w:t xml:space="preserve">Q11. </w:t>
      </w:r>
      <w:r>
        <w:rPr>
          <w:i w:val="0"/>
        </w:rPr>
        <w:t>What is a remeasurement gain and how do you treat it?</w:t>
      </w:r>
    </w:p>
    <w:p>
      <w:pPr>
        <w:ind w:left="432"/>
      </w:pPr>
      <w:r>
        <w:rPr>
          <w:i w:val="0"/>
        </w:rPr>
        <w:t>When an acquirer gains control of an entity in which it already held a stake, the old stake is revalued to fair value through the income statement. Exclude it from EBITDA, recurring EPS and cash flow.</w:t>
      </w:r>
    </w:p>
    <w:p>
      <w:r>
        <w:rPr>
          <w:b/>
        </w:rPr>
        <w:t xml:space="preserve">Q12. </w:t>
      </w:r>
      <w:r>
        <w:rPr>
          <w:i w:val="0"/>
        </w:rPr>
        <w:t>Most of the DCF value is in the terminal value. How do you get comfortable?</w:t>
      </w:r>
    </w:p>
    <w:p>
      <w:pPr>
        <w:ind w:left="432"/>
      </w:pPr>
      <w:r>
        <w:rPr>
          <w:i w:val="0"/>
        </w:rPr>
        <w:t>Cross-check the implied exit multiple and implied growth against peers and the economy, show sensitivities, and run a reverse DCF to see what the price requires.</w:t>
      </w:r>
    </w:p>
    <w:p>
      <w:r>
        <w:rPr>
          <w:b/>
        </w:rPr>
        <w:t xml:space="preserve">Q13. </w:t>
      </w:r>
      <w:r>
        <w:rPr>
          <w:i w:val="0"/>
        </w:rPr>
        <w:t>How do rising rates affect a stock like Tyler?</w:t>
      </w:r>
    </w:p>
    <w:p>
      <w:pPr>
        <w:ind w:left="432"/>
      </w:pPr>
      <w:r>
        <w:rPr>
          <w:i w:val="0"/>
        </w:rPr>
        <w:t>Higher risk-free rates raise the discount rate on long-dated cash flows, lowering value; Tyler partly offsets through interest income on its cash (about $19–21M of net interest income guided for FY26).</w:t>
      </w:r>
    </w:p>
    <w:p>
      <w:r>
        <w:rPr>
          <w:b/>
        </w:rPr>
        <w:t xml:space="preserve">Q14. </w:t>
      </w:r>
      <w:r>
        <w:rPr>
          <w:i w:val="0"/>
        </w:rPr>
        <w:t>What could break the investment case?</w:t>
      </w:r>
    </w:p>
    <w:p>
      <w:pPr>
        <w:ind w:left="432"/>
      </w:pPr>
      <w:r>
        <w:rPr>
          <w:i w:val="0"/>
        </w:rPr>
        <w:t>AI tools that reduce the value of workflow software or speed up competition; state and local budget pressure; lower payment volumes; slower SaaS conversion; or capital allocation that destroys value.</w:t>
      </w:r>
    </w:p>
    <w:p>
      <w:pPr>
        <w:pStyle w:val="Heading1"/>
      </w:pPr>
      <w:r>
        <w:t>5. Where to find things in the filings</w:t>
      </w:r>
    </w:p>
    <w:tbl>
      <w:tblPr>
        <w:tblW w:type="auto" w:w="0"/>
        <w:jc w:val="center"/>
        <w:tblLayout w:type="fixed"/>
        <w:tblLook w:firstColumn="1" w:firstRow="1" w:lastColumn="0" w:lastRow="0" w:noHBand="0" w:noVBand="1" w:val="04A0"/>
        <w:tblBorders>
          <w:top w:val="single" w:sz="4" w:color="DDDCD4"/>
          <w:left w:val="single" w:sz="4" w:color="DDDCD4"/>
          <w:bottom w:val="single" w:sz="4" w:color="DDDCD4"/>
          <w:right w:val="single" w:sz="4" w:color="DDDCD4"/>
          <w:insideH w:val="single" w:sz="4" w:color="DDDCD4"/>
          <w:insideV w:val="single" w:sz="4" w:color="DDDCD4"/>
        </w:tblBorders>
      </w:tblPr>
      <w:tblGrid>
        <w:gridCol w:w="4031"/>
        <w:gridCol w:w="5328"/>
      </w:tblGrid>
      <w:tr>
        <w:tc>
          <w:tcPr>
            <w:tcW w:type="dxa" w:w="4032"/>
            <w:shd w:val="clear" w:color="auto" w:fill="1E3A5F"/>
          </w:tcPr>
          <w:p>
            <w:r/>
            <w:r>
              <w:rPr>
                <w:b/>
                <w:color w:val="FFFFFF"/>
                <w:sz w:val="18"/>
              </w:rPr>
              <w:t>What</w:t>
            </w:r>
          </w:p>
        </w:tc>
        <w:tc>
          <w:tcPr>
            <w:tcW w:type="dxa" w:w="5328"/>
            <w:shd w:val="clear" w:color="auto" w:fill="1E3A5F"/>
          </w:tcPr>
          <w:p>
            <w:r/>
            <w:r>
              <w:rPr>
                <w:b/>
                <w:color w:val="FFFFFF"/>
                <w:sz w:val="18"/>
              </w:rPr>
              <w:t>Where</w:t>
            </w:r>
          </w:p>
        </w:tc>
      </w:tr>
      <w:tr>
        <w:tc>
          <w:tcPr>
            <w:tcW w:type="dxa" w:w="4032"/>
          </w:tcPr>
          <w:p>
            <w:r/>
            <w:r>
              <w:rPr>
                <w:sz w:val="18"/>
              </w:rPr>
              <w:t>Business, products, clients, competition</w:t>
            </w:r>
          </w:p>
        </w:tc>
        <w:tc>
          <w:tcPr>
            <w:tcW w:type="dxa" w:w="5328"/>
          </w:tcPr>
          <w:p>
            <w:r/>
            <w:r>
              <w:rPr>
                <w:sz w:val="18"/>
              </w:rPr>
              <w:t>10-K FY25 Item 1</w:t>
            </w:r>
          </w:p>
        </w:tc>
      </w:tr>
      <w:tr>
        <w:tc>
          <w:tcPr>
            <w:tcW w:type="dxa" w:w="4032"/>
          </w:tcPr>
          <w:p>
            <w:r/>
            <w:r>
              <w:rPr>
                <w:sz w:val="18"/>
              </w:rPr>
              <w:t>Disaggregation of revenue (SaaS, transaction fees, maintenance, services, other)</w:t>
            </w:r>
          </w:p>
        </w:tc>
        <w:tc>
          <w:tcPr>
            <w:tcW w:type="dxa" w:w="5328"/>
          </w:tcPr>
          <w:p>
            <w:r/>
            <w:r>
              <w:rPr>
                <w:sz w:val="18"/>
              </w:rPr>
              <w:t>10-K FY25 and 10-Q 2Q26 revenue notes</w:t>
            </w:r>
          </w:p>
        </w:tc>
      </w:tr>
      <w:tr>
        <w:tc>
          <w:tcPr>
            <w:tcW w:type="dxa" w:w="4032"/>
          </w:tcPr>
          <w:p>
            <w:r/>
            <w:r>
              <w:rPr>
                <w:sz w:val="18"/>
              </w:rPr>
              <w:t>Deferred revenue, RPO</w:t>
            </w:r>
          </w:p>
        </w:tc>
        <w:tc>
          <w:tcPr>
            <w:tcW w:type="dxa" w:w="5328"/>
          </w:tcPr>
          <w:p>
            <w:r/>
            <w:r>
              <w:rPr>
                <w:sz w:val="18"/>
              </w:rPr>
              <w:t>Revenue recognition note</w:t>
            </w:r>
          </w:p>
        </w:tc>
      </w:tr>
      <w:tr>
        <w:tc>
          <w:tcPr>
            <w:tcW w:type="dxa" w:w="4032"/>
          </w:tcPr>
          <w:p>
            <w:r/>
            <w:r>
              <w:rPr>
                <w:sz w:val="18"/>
              </w:rPr>
              <w:t>2031 convertible notes, capped call, revolver</w:t>
            </w:r>
          </w:p>
        </w:tc>
        <w:tc>
          <w:tcPr>
            <w:tcW w:type="dxa" w:w="5328"/>
          </w:tcPr>
          <w:p>
            <w:r/>
            <w:r>
              <w:rPr>
                <w:sz w:val="18"/>
              </w:rPr>
              <w:t>Debt note; 8-Ks of 14 May and 29 May 2026</w:t>
            </w:r>
          </w:p>
        </w:tc>
      </w:tr>
      <w:tr>
        <w:tc>
          <w:tcPr>
            <w:tcW w:type="dxa" w:w="4032"/>
          </w:tcPr>
          <w:p>
            <w:r/>
            <w:r>
              <w:rPr>
                <w:sz w:val="18"/>
              </w:rPr>
              <w:t>Share repurchases and treasury shares</w:t>
            </w:r>
          </w:p>
        </w:tc>
        <w:tc>
          <w:tcPr>
            <w:tcW w:type="dxa" w:w="5328"/>
          </w:tcPr>
          <w:p>
            <w:r/>
            <w:r>
              <w:rPr>
                <w:sz w:val="18"/>
              </w:rPr>
              <w:t>Equity note; 10-Q 2Q26 Part II Item 2; 10b5-1 8-Ks (12 Jun, 15 Sep 2026)</w:t>
            </w:r>
          </w:p>
        </w:tc>
      </w:tr>
      <w:tr>
        <w:tc>
          <w:tcPr>
            <w:tcW w:type="dxa" w:w="4032"/>
          </w:tcPr>
          <w:p>
            <w:r/>
            <w:r>
              <w:rPr>
                <w:sz w:val="18"/>
              </w:rPr>
              <w:t>For The Record acquisition and remeasurement gain</w:t>
            </w:r>
          </w:p>
        </w:tc>
        <w:tc>
          <w:tcPr>
            <w:tcW w:type="dxa" w:w="5328"/>
          </w:tcPr>
          <w:p>
            <w:r/>
            <w:r>
              <w:rPr>
                <w:sz w:val="18"/>
              </w:rPr>
              <w:t>Acquisitions note, 10-Q 2Q26</w:t>
            </w:r>
          </w:p>
        </w:tc>
      </w:tr>
      <w:tr>
        <w:tc>
          <w:tcPr>
            <w:tcW w:type="dxa" w:w="4032"/>
          </w:tcPr>
          <w:p>
            <w:r/>
            <w:r>
              <w:rPr>
                <w:sz w:val="18"/>
              </w:rPr>
              <w:t>ARR, FY26 guidance</w:t>
            </w:r>
          </w:p>
        </w:tc>
        <w:tc>
          <w:tcPr>
            <w:tcW w:type="dxa" w:w="5328"/>
          </w:tcPr>
          <w:p>
            <w:r/>
            <w:r>
              <w:rPr>
                <w:sz w:val="18"/>
              </w:rPr>
              <w:t>8-K Ex. 99.1, 29 Jul 2026</w:t>
            </w:r>
          </w:p>
        </w:tc>
      </w:tr>
      <w:tr>
        <w:tc>
          <w:tcPr>
            <w:tcW w:type="dxa" w:w="4032"/>
          </w:tcPr>
          <w:p>
            <w:r/>
            <w:r>
              <w:rPr>
                <w:sz w:val="18"/>
              </w:rPr>
              <w:t>2030 targets</w:t>
            </w:r>
          </w:p>
        </w:tc>
        <w:tc>
          <w:tcPr>
            <w:tcW w:type="dxa" w:w="5328"/>
          </w:tcPr>
          <w:p>
            <w:r/>
            <w:r>
              <w:rPr>
                <w:sz w:val="18"/>
              </w:rPr>
              <w:t>Investor Day presentation, 9 Jun 2026 (company IR site)</w:t>
            </w:r>
          </w:p>
        </w:tc>
      </w:tr>
    </w:tbl>
    <w:p>
      <w:pPr>
        <w:spacing w:after="40"/>
      </w:pPr>
    </w:p>
    <w:p>
      <w:r>
        <w:rPr>
          <w:i/>
          <w:sz w:val="19"/>
        </w:rPr>
        <w:t>The Practice tab in the template has ten warm-up drills on historical data and convertible mechanics, with instant feedback.</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B6475"/>
        <w:sz w:val="16"/>
      </w:rPr>
      <w:t xml:space="preserve">IC Simulator · Tyler Technologies (TYL) · Advanced (take-home 1–2 days) · Practice use only · Page </w:t>
    </w:r>
    <w:r>
      <w:rPr>
        <w:sz w:val="16"/>
      </w:rPr>
      <w:fldChar w:fldCharType="begin"/>
      <w:instrText xml:space="preserve">PAGE</w:instrText>
      <w:fldChar w:fldCharType="end"/>
    </w:r>
    <w:r>
      <w:rPr>
        <w:color w:val="5B6475"/>
        <w:sz w:val="16"/>
      </w:rPr>
      <w:t xml:space="preserve"> of </w:t>
    </w:r>
    <w:r>
      <w:rPr>
        <w:sz w:val="16"/>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Georgia" w:hAnsi="Georgia" w:eastAsia="Georgia"/>
      <w:b/>
      <w:bCs/>
      <w:color w:val="1E3A5F"/>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Georgia" w:hAnsi="Georgia" w:eastAsia="Georgia"/>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Georgia" w:hAnsi="Georgia" w:eastAsia="Georgia"/>
      <w:b/>
      <w:bCs/>
      <w:color w:val="1E3A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Theme="majorHAnsi" w:eastAsiaTheme="majorEastAsia" w:hAnsiTheme="majorHAnsi" w:cstheme="majorBidi" w:ascii="Georgia" w:hAnsi="Georgia" w:eastAsia="Georgia"/>
      <w:b/>
      <w:color w:val="1E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