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Watsco: is the reset priced in?</w:t>
      </w:r>
    </w:p>
    <w:p>
      <w:r>
        <w:rPr>
          <w:rFonts w:ascii="Georgia" w:hAnsi="Georgia"/>
          <w:color w:val="5B6475"/>
          <w:sz w:val="26"/>
        </w:rPr>
        <w:t>Investment banking case · writing assignment and modeling assignment</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Company</w:t>
            </w:r>
          </w:p>
        </w:tc>
        <w:tc>
          <w:tcPr>
            <w:tcW w:type="dxa" w:w="6768"/>
          </w:tcPr>
          <w:p>
            <w:r/>
            <w:r>
              <w:rPr>
                <w:sz w:val="19"/>
              </w:rPr>
              <w:t>Watsco, Inc. (NYSE: WSO; Common and Class B shares) · Miami, Florida · calendar fiscal year</w:t>
            </w:r>
          </w:p>
        </w:tc>
      </w:tr>
      <w:tr>
        <w:tc>
          <w:tcPr>
            <w:tcW w:type="dxa" w:w="2592"/>
            <w:shd w:val="clear" w:color="auto" w:fill="E4EAF3"/>
          </w:tcPr>
          <w:p>
            <w:r/>
            <w:r>
              <w:rPr>
                <w:b/>
                <w:sz w:val="19"/>
              </w:rPr>
              <w:t>Case date</w:t>
            </w:r>
          </w:p>
        </w:tc>
        <w:tc>
          <w:tcPr>
            <w:tcW w:type="dxa" w:w="6768"/>
          </w:tcPr>
          <w:p>
            <w:r/>
            <w:r>
              <w:rPr>
                <w:sz w:val="19"/>
              </w:rPr>
              <w:t>Friday 9 October 2026 (market data as of the close). Latest filing: 10-Q for the six months to 30 June 2026.</w:t>
            </w:r>
          </w:p>
        </w:tc>
      </w:tr>
      <w:tr>
        <w:tc>
          <w:tcPr>
            <w:tcW w:type="dxa" w:w="2592"/>
            <w:shd w:val="clear" w:color="auto" w:fill="E4EAF3"/>
          </w:tcPr>
          <w:p>
            <w:r/>
            <w:r>
              <w:rPr>
                <w:b/>
                <w:sz w:val="19"/>
              </w:rPr>
              <w:t>Level</w:t>
            </w:r>
          </w:p>
        </w:tc>
        <w:tc>
          <w:tcPr>
            <w:tcW w:type="dxa" w:w="6768"/>
          </w:tcPr>
          <w:p>
            <w:r/>
            <w:r>
              <w:rPr>
                <w:sz w:val="19"/>
              </w:rPr>
              <w:t>Advanced (take-home, 1–2 days) · uncalibrated</w:t>
            </w:r>
          </w:p>
        </w:tc>
      </w:tr>
      <w:tr>
        <w:tc>
          <w:tcPr>
            <w:tcW w:type="dxa" w:w="2592"/>
            <w:shd w:val="clear" w:color="auto" w:fill="E4EAF3"/>
          </w:tcPr>
          <w:p>
            <w:r/>
            <w:r>
              <w:rPr>
                <w:b/>
                <w:sz w:val="19"/>
              </w:rPr>
              <w:t>Materials</w:t>
            </w:r>
          </w:p>
        </w:tc>
        <w:tc>
          <w:tcPr>
            <w:tcW w:type="dxa" w:w="6768"/>
          </w:tcPr>
          <w:p>
            <w:r/>
            <w:r>
              <w:rPr>
                <w:sz w:val="19"/>
              </w:rPr>
              <w:t>WSO-student-model-template.xlsx; this brief; the study guide; public SEC filings (links in the template Cover and the study guide)</w:t>
            </w:r>
          </w:p>
        </w:tc>
      </w:tr>
    </w:tbl>
    <w:p>
      <w:pPr>
        <w:spacing w:after="40"/>
      </w:pPr>
    </w:p>
    <w:p>
      <w:pPr>
        <w:pStyle w:val="Heading1"/>
      </w:pPr>
      <w:r>
        <w:t>1. Your role and the situation</w:t>
      </w:r>
    </w:p>
    <w:p>
      <w:r>
        <w:rPr>
          <w:i w:val="0"/>
        </w:rPr>
        <w:t>You are an Associate in the Industrials &amp; Distribution group of an investment bank. A long-only client that has owned Watsco for a decade has asked the bank's coverage team for a fresh, independent view after the stock's worst year in a long time: at $279.90 (close, 9 October 2026), down from a 52-week high of $459.00, is Watsco now cheap, or has the market simply re-based an over-earning business? Your Managing Director wants a written view and a model she can defend in front of the client.</w:t>
      </w:r>
    </w:p>
    <w:p>
      <w:pPr>
        <w:pStyle w:val="ListBullet"/>
      </w:pPr>
      <w:r>
        <w:rPr>
          <w:b/>
        </w:rPr>
        <w:t xml:space="preserve">A margin reset. </w:t>
      </w:r>
      <w:r>
        <w:t>Gross margin was 28.0% in FY25, helped by the pass-through of large 2025 OEM price increases during the transition to A2L refrigerant systems. In 2Q26 it fell to 27.5% (−180 bp year on year); operating income fell 12.3% and diluted EPS of $4.00 missed a published consensus range of $4.38–$4.51. The shares fell about 13% on 29 July 2026.</w:t>
      </w:r>
    </w:p>
    <w:p>
      <w:pPr>
        <w:pStyle w:val="ListBullet"/>
      </w:pPr>
      <w:r>
        <w:rPr>
          <w:b/>
        </w:rPr>
        <w:t xml:space="preserve">Volumes have stopped falling. </w:t>
      </w:r>
      <w:r>
        <w:t>Same-store sales fell 5% in FY25, were flat in 1H26 and rose 1% in 2Q26, which the company attributes to the HVAC equipment market stabilising after the A2L transition.</w:t>
      </w:r>
    </w:p>
    <w:p>
      <w:pPr>
        <w:pStyle w:val="ListBullet"/>
      </w:pPr>
      <w:r>
        <w:rPr>
          <w:b/>
        </w:rPr>
        <w:t xml:space="preserve">Acquisitions. </w:t>
      </w:r>
      <w:r>
        <w:t>Watsco bought Jackson Supply (25 branches, about $230M of annual sales) on 1 June 2026 for 517,884 shares worth $186.2M, and on 12 September 2026 agreed to buy Granite Group, a Northeast plumbing and HVAC distributor with about $500M of sales, for $505.0M (80% cash, 20% stock), subject to antitrust clearance.</w:t>
      </w:r>
    </w:p>
    <w:p>
      <w:pPr>
        <w:pStyle w:val="ListBullet"/>
      </w:pPr>
      <w:r>
        <w:rPr>
          <w:b/>
        </w:rPr>
        <w:t xml:space="preserve">Rates. </w:t>
      </w:r>
      <w:r>
        <w:t>The Federal Reserve raised its target range to 3.75–4.00% on 16 September 2026; the 10-year Treasury closed at 5.24% on 9 October. Watsco pays out roughly all of its earnings as dividends (annual rate $13.20 since April 2026), so it trades partly as a yield stock.</w:t>
      </w:r>
    </w:p>
    <w:p>
      <w:pPr>
        <w:pStyle w:val="Heading1"/>
      </w:pPr>
      <w:r>
        <w:t>2. Company background</w:t>
      </w:r>
    </w:p>
    <w:p>
      <w:r>
        <w:rPr>
          <w:i w:val="0"/>
        </w:rPr>
        <w:t>Watsco is the largest distributor of residential and light-commercial heating, ventilation, air-conditioning and refrigeration (HVAC/R) equipment, parts and supplies in the Americas, with 723 locations at 30 June 2026. FY25 revenue was $7.24bn: HVAC equipment 67%, other HVAC products 29% and commercial refrigeration 4%. Its customers are contractors and dealers who replace and install systems; replacement of the installed base, not new construction, drives most demand.</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Carrier joint ventures</w:t>
            </w:r>
          </w:p>
        </w:tc>
        <w:tc>
          <w:tcPr>
            <w:tcW w:type="dxa" w:w="6768"/>
          </w:tcPr>
          <w:p>
            <w:r/>
            <w:r>
              <w:rPr>
                <w:sz w:val="19"/>
              </w:rPr>
              <w:t>Watsco runs much of its business through joint ventures with Carrier: Carrier Enterprise I, Carrier Enterprise II and Totaline Enterprise (Watsco 80% / Carrier 20%) and Carrier Enterprise III in Canada (60% / 40%). Watsco consolidates them and shows Carrier's share as a non-controlling interest. Carrier Enterprise I also owns 38.4% of Russell Sigler, Inc. (equity method).</w:t>
            </w:r>
          </w:p>
        </w:tc>
      </w:tr>
      <w:tr>
        <w:tc>
          <w:tcPr>
            <w:tcW w:type="dxa" w:w="2592"/>
            <w:shd w:val="clear" w:color="auto" w:fill="E4EAF3"/>
          </w:tcPr>
          <w:p>
            <w:r/>
            <w:r>
              <w:rPr>
                <w:b/>
                <w:sz w:val="19"/>
              </w:rPr>
              <w:t>Two share classes</w:t>
            </w:r>
          </w:p>
        </w:tc>
        <w:tc>
          <w:tcPr>
            <w:tcW w:type="dxa" w:w="6768"/>
          </w:tcPr>
          <w:p>
            <w:r/>
            <w:r>
              <w:rPr>
                <w:sz w:val="19"/>
              </w:rPr>
              <w:t>Common stock (one vote) and Class B common stock (ten votes; elects 75% of the board; convertible 1:1; cannot receive a lower dividend than Common). At 4 August 2026: 35,588,756 Common and 5,663,438 Class B shares outstanding, including unvested restricted stock.</w:t>
            </w:r>
          </w:p>
        </w:tc>
      </w:tr>
      <w:tr>
        <w:tc>
          <w:tcPr>
            <w:tcW w:type="dxa" w:w="2592"/>
            <w:shd w:val="clear" w:color="auto" w:fill="E4EAF3"/>
          </w:tcPr>
          <w:p>
            <w:r/>
            <w:r>
              <w:rPr>
                <w:b/>
                <w:sz w:val="19"/>
              </w:rPr>
              <w:t>Balance sheet</w:t>
            </w:r>
          </w:p>
        </w:tc>
        <w:tc>
          <w:tcPr>
            <w:tcW w:type="dxa" w:w="6768"/>
          </w:tcPr>
          <w:p>
            <w:r/>
            <w:r>
              <w:rPr>
                <w:sz w:val="19"/>
              </w:rPr>
              <w:t>Net cash: $364.2M of cash and $100.0M of Treasury bills at 30 June 2026; the $600M revolver ($500M from October to March) was undrawn. Inventory is built in the first half for the cooling season, so 1H operating cash flow is usually negative.</w:t>
            </w:r>
          </w:p>
        </w:tc>
      </w:tr>
      <w:tr>
        <w:tc>
          <w:tcPr>
            <w:tcW w:type="dxa" w:w="2592"/>
            <w:shd w:val="clear" w:color="auto" w:fill="E4EAF3"/>
          </w:tcPr>
          <w:p>
            <w:r/>
            <w:r>
              <w:rPr>
                <w:b/>
                <w:sz w:val="19"/>
              </w:rPr>
              <w:t>Capital returns</w:t>
            </w:r>
          </w:p>
        </w:tc>
        <w:tc>
          <w:tcPr>
            <w:tcW w:type="dxa" w:w="6768"/>
          </w:tcPr>
          <w:p>
            <w:r/>
            <w:r>
              <w:rPr>
                <w:sz w:val="19"/>
              </w:rPr>
              <w:t>Dividends of $11.70 per share paid in FY25 ($473.8M) plus $131.2M of distributions to Carrier, against FY25 operating cash flow of $569.6M. Watsco also sold $281.8M of new shares through an at-the-market programme in FY24.</w:t>
            </w:r>
          </w:p>
        </w:tc>
      </w:tr>
    </w:tbl>
    <w:p>
      <w:pPr>
        <w:spacing w:after="40"/>
      </w:pPr>
    </w:p>
    <w:p>
      <w:r>
        <w:rPr>
          <w:b/>
        </w:rPr>
        <w:t xml:space="preserve">Exhibit 1. </w:t>
      </w:r>
      <w:r>
        <w:rPr>
          <w:i w:val="0"/>
        </w:rPr>
        <w:t>History (calendar years):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3168"/>
        <w:gridCol w:w="1152"/>
        <w:gridCol w:w="1152"/>
        <w:gridCol w:w="1152"/>
        <w:gridCol w:w="1152"/>
        <w:gridCol w:w="1152"/>
        <w:gridCol w:w="1152"/>
      </w:tblGrid>
      <w:tr>
        <w:tc>
          <w:tcPr>
            <w:tcW w:type="dxa" w:w="3168"/>
            <w:shd w:val="clear" w:color="auto" w:fill="1E3A5F"/>
          </w:tcPr>
          <w:p>
            <w:r/>
            <w:r>
              <w:rPr>
                <w:b/>
                <w:color w:val="FFFFFF"/>
                <w:sz w:val="18"/>
              </w:rPr>
            </w:r>
          </w:p>
        </w:tc>
        <w:tc>
          <w:tcPr>
            <w:tcW w:type="dxa" w:w="1152"/>
            <w:shd w:val="clear" w:color="auto" w:fill="1E3A5F"/>
          </w:tcPr>
          <w:p>
            <w:r/>
            <w:r>
              <w:rPr>
                <w:b/>
                <w:color w:val="FFFFFF"/>
                <w:sz w:val="18"/>
              </w:rPr>
              <w:t>FY22A</w:t>
            </w:r>
          </w:p>
        </w:tc>
        <w:tc>
          <w:tcPr>
            <w:tcW w:type="dxa" w:w="1152"/>
            <w:shd w:val="clear" w:color="auto" w:fill="1E3A5F"/>
          </w:tcPr>
          <w:p>
            <w:r/>
            <w:r>
              <w:rPr>
                <w:b/>
                <w:color w:val="FFFFFF"/>
                <w:sz w:val="18"/>
              </w:rPr>
              <w:t>FY23A</w:t>
            </w:r>
          </w:p>
        </w:tc>
        <w:tc>
          <w:tcPr>
            <w:tcW w:type="dxa" w:w="1152"/>
            <w:shd w:val="clear" w:color="auto" w:fill="1E3A5F"/>
          </w:tcPr>
          <w:p>
            <w:r/>
            <w:r>
              <w:rPr>
                <w:b/>
                <w:color w:val="FFFFFF"/>
                <w:sz w:val="18"/>
              </w:rPr>
              <w:t>FY24A</w:t>
            </w:r>
          </w:p>
        </w:tc>
        <w:tc>
          <w:tcPr>
            <w:tcW w:type="dxa" w:w="1152"/>
            <w:shd w:val="clear" w:color="auto" w:fill="1E3A5F"/>
          </w:tcPr>
          <w:p>
            <w:r/>
            <w:r>
              <w:rPr>
                <w:b/>
                <w:color w:val="FFFFFF"/>
                <w:sz w:val="18"/>
              </w:rPr>
              <w:t>FY25A</w:t>
            </w:r>
          </w:p>
        </w:tc>
        <w:tc>
          <w:tcPr>
            <w:tcW w:type="dxa" w:w="1152"/>
            <w:shd w:val="clear" w:color="auto" w:fill="1E3A5F"/>
          </w:tcPr>
          <w:p>
            <w:r/>
            <w:r>
              <w:rPr>
                <w:b/>
                <w:color w:val="FFFFFF"/>
                <w:sz w:val="18"/>
              </w:rPr>
              <w:t>6M25A</w:t>
            </w:r>
          </w:p>
        </w:tc>
        <w:tc>
          <w:tcPr>
            <w:tcW w:type="dxa" w:w="1152"/>
            <w:shd w:val="clear" w:color="auto" w:fill="1E3A5F"/>
          </w:tcPr>
          <w:p>
            <w:r/>
            <w:r>
              <w:rPr>
                <w:b/>
                <w:color w:val="FFFFFF"/>
                <w:sz w:val="18"/>
              </w:rPr>
              <w:t>6M26A</w:t>
            </w:r>
          </w:p>
        </w:tc>
      </w:tr>
      <w:tr>
        <w:tc>
          <w:tcPr>
            <w:tcW w:type="dxa" w:w="3168"/>
          </w:tcPr>
          <w:p>
            <w:r/>
            <w:r>
              <w:rPr>
                <w:sz w:val="18"/>
              </w:rPr>
              <w:t>Revenue ($M)</w:t>
            </w:r>
          </w:p>
        </w:tc>
        <w:tc>
          <w:tcPr>
            <w:tcW w:type="dxa" w:w="1152"/>
          </w:tcPr>
          <w:p>
            <w:pPr>
              <w:jc w:val="right"/>
            </w:pPr>
            <w:r/>
            <w:r>
              <w:rPr>
                <w:sz w:val="18"/>
              </w:rPr>
              <w:t>7,274.3</w:t>
            </w:r>
          </w:p>
        </w:tc>
        <w:tc>
          <w:tcPr>
            <w:tcW w:type="dxa" w:w="1152"/>
          </w:tcPr>
          <w:p>
            <w:pPr>
              <w:jc w:val="right"/>
            </w:pPr>
            <w:r/>
            <w:r>
              <w:rPr>
                <w:sz w:val="18"/>
              </w:rPr>
              <w:t>7,283.8</w:t>
            </w:r>
          </w:p>
        </w:tc>
        <w:tc>
          <w:tcPr>
            <w:tcW w:type="dxa" w:w="1152"/>
          </w:tcPr>
          <w:p>
            <w:pPr>
              <w:jc w:val="right"/>
            </w:pPr>
            <w:r/>
            <w:r>
              <w:rPr>
                <w:sz w:val="18"/>
              </w:rPr>
              <w:t>7,618.3</w:t>
            </w:r>
          </w:p>
        </w:tc>
        <w:tc>
          <w:tcPr>
            <w:tcW w:type="dxa" w:w="1152"/>
          </w:tcPr>
          <w:p>
            <w:pPr>
              <w:jc w:val="right"/>
            </w:pPr>
            <w:r/>
            <w:r>
              <w:rPr>
                <w:sz w:val="18"/>
              </w:rPr>
              <w:t>7,239.3</w:t>
            </w:r>
          </w:p>
        </w:tc>
        <w:tc>
          <w:tcPr>
            <w:tcW w:type="dxa" w:w="1152"/>
          </w:tcPr>
          <w:p>
            <w:pPr>
              <w:jc w:val="right"/>
            </w:pPr>
            <w:r/>
            <w:r>
              <w:rPr>
                <w:sz w:val="18"/>
              </w:rPr>
              <w:t>3,593.5</w:t>
            </w:r>
          </w:p>
        </w:tc>
        <w:tc>
          <w:tcPr>
            <w:tcW w:type="dxa" w:w="1152"/>
          </w:tcPr>
          <w:p>
            <w:pPr>
              <w:jc w:val="right"/>
            </w:pPr>
            <w:r/>
            <w:r>
              <w:rPr>
                <w:sz w:val="18"/>
              </w:rPr>
              <w:t>3,637.9</w:t>
            </w:r>
          </w:p>
        </w:tc>
      </w:tr>
      <w:tr>
        <w:tc>
          <w:tcPr>
            <w:tcW w:type="dxa" w:w="3168"/>
          </w:tcPr>
          <w:p>
            <w:r/>
            <w:r>
              <w:rPr>
                <w:sz w:val="18"/>
              </w:rPr>
              <w:t xml:space="preserve">  growth</w:t>
            </w:r>
          </w:p>
        </w:tc>
        <w:tc>
          <w:tcPr>
            <w:tcW w:type="dxa" w:w="1152"/>
          </w:tcPr>
          <w:p>
            <w:pPr>
              <w:jc w:val="right"/>
            </w:pPr>
            <w:r/>
            <w:r>
              <w:rPr>
                <w:sz w:val="18"/>
              </w:rPr>
              <w:t>—</w:t>
            </w:r>
          </w:p>
        </w:tc>
        <w:tc>
          <w:tcPr>
            <w:tcW w:type="dxa" w:w="1152"/>
          </w:tcPr>
          <w:p>
            <w:pPr>
              <w:jc w:val="right"/>
            </w:pPr>
            <w:r/>
            <w:r>
              <w:rPr>
                <w:sz w:val="18"/>
              </w:rPr>
              <w:t>0.1%</w:t>
            </w:r>
          </w:p>
        </w:tc>
        <w:tc>
          <w:tcPr>
            <w:tcW w:type="dxa" w:w="1152"/>
          </w:tcPr>
          <w:p>
            <w:pPr>
              <w:jc w:val="right"/>
            </w:pPr>
            <w:r/>
            <w:r>
              <w:rPr>
                <w:sz w:val="18"/>
              </w:rPr>
              <w:t>4.6%</w:t>
            </w:r>
          </w:p>
        </w:tc>
        <w:tc>
          <w:tcPr>
            <w:tcW w:type="dxa" w:w="1152"/>
          </w:tcPr>
          <w:p>
            <w:pPr>
              <w:jc w:val="right"/>
            </w:pPr>
            <w:r/>
            <w:r>
              <w:rPr>
                <w:sz w:val="18"/>
              </w:rPr>
              <w:t>-5.0%</w:t>
            </w:r>
          </w:p>
        </w:tc>
        <w:tc>
          <w:tcPr>
            <w:tcW w:type="dxa" w:w="1152"/>
          </w:tcPr>
          <w:p>
            <w:pPr>
              <w:jc w:val="right"/>
            </w:pPr>
            <w:r/>
            <w:r>
              <w:rPr>
                <w:sz w:val="18"/>
              </w:rPr>
              <w:t>—</w:t>
            </w:r>
          </w:p>
        </w:tc>
        <w:tc>
          <w:tcPr>
            <w:tcW w:type="dxa" w:w="1152"/>
          </w:tcPr>
          <w:p>
            <w:pPr>
              <w:jc w:val="right"/>
            </w:pPr>
            <w:r/>
            <w:r>
              <w:rPr>
                <w:sz w:val="18"/>
              </w:rPr>
              <w:t>1.2%</w:t>
            </w:r>
          </w:p>
        </w:tc>
      </w:tr>
      <w:tr>
        <w:tc>
          <w:tcPr>
            <w:tcW w:type="dxa" w:w="3168"/>
          </w:tcPr>
          <w:p>
            <w:r/>
            <w:r>
              <w:rPr>
                <w:sz w:val="18"/>
              </w:rPr>
              <w:t>Gross margin</w:t>
            </w:r>
          </w:p>
        </w:tc>
        <w:tc>
          <w:tcPr>
            <w:tcW w:type="dxa" w:w="1152"/>
          </w:tcPr>
          <w:p>
            <w:pPr>
              <w:jc w:val="right"/>
            </w:pPr>
            <w:r/>
            <w:r>
              <w:rPr>
                <w:sz w:val="18"/>
              </w:rPr>
              <w:t>27.9%</w:t>
            </w:r>
          </w:p>
        </w:tc>
        <w:tc>
          <w:tcPr>
            <w:tcW w:type="dxa" w:w="1152"/>
          </w:tcPr>
          <w:p>
            <w:pPr>
              <w:jc w:val="right"/>
            </w:pPr>
            <w:r/>
            <w:r>
              <w:rPr>
                <w:sz w:val="18"/>
              </w:rPr>
              <w:t>27.4%</w:t>
            </w:r>
          </w:p>
        </w:tc>
        <w:tc>
          <w:tcPr>
            <w:tcW w:type="dxa" w:w="1152"/>
          </w:tcPr>
          <w:p>
            <w:pPr>
              <w:jc w:val="right"/>
            </w:pPr>
            <w:r/>
            <w:r>
              <w:rPr>
                <w:sz w:val="18"/>
              </w:rPr>
              <w:t>26.8%</w:t>
            </w:r>
          </w:p>
        </w:tc>
        <w:tc>
          <w:tcPr>
            <w:tcW w:type="dxa" w:w="1152"/>
          </w:tcPr>
          <w:p>
            <w:pPr>
              <w:jc w:val="right"/>
            </w:pPr>
            <w:r/>
            <w:r>
              <w:rPr>
                <w:sz w:val="18"/>
              </w:rPr>
              <w:t>28.0%</w:t>
            </w:r>
          </w:p>
        </w:tc>
        <w:tc>
          <w:tcPr>
            <w:tcW w:type="dxa" w:w="1152"/>
          </w:tcPr>
          <w:p>
            <w:pPr>
              <w:jc w:val="right"/>
            </w:pPr>
            <w:r/>
            <w:r>
              <w:rPr>
                <w:sz w:val="18"/>
              </w:rPr>
              <w:t>28.7%</w:t>
            </w:r>
          </w:p>
        </w:tc>
        <w:tc>
          <w:tcPr>
            <w:tcW w:type="dxa" w:w="1152"/>
          </w:tcPr>
          <w:p>
            <w:pPr>
              <w:jc w:val="right"/>
            </w:pPr>
            <w:r/>
            <w:r>
              <w:rPr>
                <w:sz w:val="18"/>
              </w:rPr>
              <w:t>27.7%</w:t>
            </w:r>
          </w:p>
        </w:tc>
      </w:tr>
      <w:tr>
        <w:tc>
          <w:tcPr>
            <w:tcW w:type="dxa" w:w="3168"/>
          </w:tcPr>
          <w:p>
            <w:r/>
            <w:r>
              <w:rPr>
                <w:sz w:val="18"/>
              </w:rPr>
              <w:t>Operating income ($M)</w:t>
            </w:r>
          </w:p>
        </w:tc>
        <w:tc>
          <w:tcPr>
            <w:tcW w:type="dxa" w:w="1152"/>
          </w:tcPr>
          <w:p>
            <w:pPr>
              <w:jc w:val="right"/>
            </w:pPr>
            <w:r/>
            <w:r>
              <w:rPr>
                <w:sz w:val="18"/>
              </w:rPr>
              <w:t>831.6</w:t>
            </w:r>
          </w:p>
        </w:tc>
        <w:tc>
          <w:tcPr>
            <w:tcW w:type="dxa" w:w="1152"/>
          </w:tcPr>
          <w:p>
            <w:pPr>
              <w:jc w:val="right"/>
            </w:pPr>
            <w:r/>
            <w:r>
              <w:rPr>
                <w:sz w:val="18"/>
              </w:rPr>
              <w:t>794.8</w:t>
            </w:r>
          </w:p>
        </w:tc>
        <w:tc>
          <w:tcPr>
            <w:tcW w:type="dxa" w:w="1152"/>
          </w:tcPr>
          <w:p>
            <w:pPr>
              <w:jc w:val="right"/>
            </w:pPr>
            <w:r/>
            <w:r>
              <w:rPr>
                <w:sz w:val="18"/>
              </w:rPr>
              <w:t>781.8</w:t>
            </w:r>
          </w:p>
        </w:tc>
        <w:tc>
          <w:tcPr>
            <w:tcW w:type="dxa" w:w="1152"/>
          </w:tcPr>
          <w:p>
            <w:pPr>
              <w:jc w:val="right"/>
            </w:pPr>
            <w:r/>
            <w:r>
              <w:rPr>
                <w:sz w:val="18"/>
              </w:rPr>
              <w:t>720.3</w:t>
            </w:r>
          </w:p>
        </w:tc>
        <w:tc>
          <w:tcPr>
            <w:tcW w:type="dxa" w:w="1152"/>
          </w:tcPr>
          <w:p>
            <w:pPr>
              <w:jc w:val="right"/>
            </w:pPr>
            <w:r/>
            <w:r>
              <w:rPr>
                <w:sz w:val="18"/>
              </w:rPr>
              <w:t>384.1</w:t>
            </w:r>
          </w:p>
        </w:tc>
        <w:tc>
          <w:tcPr>
            <w:tcW w:type="dxa" w:w="1152"/>
          </w:tcPr>
          <w:p>
            <w:pPr>
              <w:jc w:val="right"/>
            </w:pPr>
            <w:r/>
            <w:r>
              <w:rPr>
                <w:sz w:val="18"/>
              </w:rPr>
              <w:t>348.6</w:t>
            </w:r>
          </w:p>
        </w:tc>
      </w:tr>
      <w:tr>
        <w:tc>
          <w:tcPr>
            <w:tcW w:type="dxa" w:w="3168"/>
          </w:tcPr>
          <w:p>
            <w:r/>
            <w:r>
              <w:rPr>
                <w:sz w:val="18"/>
              </w:rPr>
              <w:t>Operating margin</w:t>
            </w:r>
          </w:p>
        </w:tc>
        <w:tc>
          <w:tcPr>
            <w:tcW w:type="dxa" w:w="1152"/>
          </w:tcPr>
          <w:p>
            <w:pPr>
              <w:jc w:val="right"/>
            </w:pPr>
            <w:r/>
            <w:r>
              <w:rPr>
                <w:sz w:val="18"/>
              </w:rPr>
              <w:t>11.4%</w:t>
            </w:r>
          </w:p>
        </w:tc>
        <w:tc>
          <w:tcPr>
            <w:tcW w:type="dxa" w:w="1152"/>
          </w:tcPr>
          <w:p>
            <w:pPr>
              <w:jc w:val="right"/>
            </w:pPr>
            <w:r/>
            <w:r>
              <w:rPr>
                <w:sz w:val="18"/>
              </w:rPr>
              <w:t>10.9%</w:t>
            </w:r>
          </w:p>
        </w:tc>
        <w:tc>
          <w:tcPr>
            <w:tcW w:type="dxa" w:w="1152"/>
          </w:tcPr>
          <w:p>
            <w:pPr>
              <w:jc w:val="right"/>
            </w:pPr>
            <w:r/>
            <w:r>
              <w:rPr>
                <w:sz w:val="18"/>
              </w:rPr>
              <w:t>10.3%</w:t>
            </w:r>
          </w:p>
        </w:tc>
        <w:tc>
          <w:tcPr>
            <w:tcW w:type="dxa" w:w="1152"/>
          </w:tcPr>
          <w:p>
            <w:pPr>
              <w:jc w:val="right"/>
            </w:pPr>
            <w:r/>
            <w:r>
              <w:rPr>
                <w:sz w:val="18"/>
              </w:rPr>
              <w:t>10.0%</w:t>
            </w:r>
          </w:p>
        </w:tc>
        <w:tc>
          <w:tcPr>
            <w:tcW w:type="dxa" w:w="1152"/>
          </w:tcPr>
          <w:p>
            <w:pPr>
              <w:jc w:val="right"/>
            </w:pPr>
            <w:r/>
            <w:r>
              <w:rPr>
                <w:sz w:val="18"/>
              </w:rPr>
              <w:t>10.7%</w:t>
            </w:r>
          </w:p>
        </w:tc>
        <w:tc>
          <w:tcPr>
            <w:tcW w:type="dxa" w:w="1152"/>
          </w:tcPr>
          <w:p>
            <w:pPr>
              <w:jc w:val="right"/>
            </w:pPr>
            <w:r/>
            <w:r>
              <w:rPr>
                <w:sz w:val="18"/>
              </w:rPr>
              <w:t>9.6%</w:t>
            </w:r>
          </w:p>
        </w:tc>
      </w:tr>
      <w:tr>
        <w:tc>
          <w:tcPr>
            <w:tcW w:type="dxa" w:w="3168"/>
          </w:tcPr>
          <w:p>
            <w:r/>
            <w:r>
              <w:rPr>
                <w:sz w:val="18"/>
              </w:rPr>
              <w:t>Diluted EPS ($)</w:t>
            </w:r>
          </w:p>
        </w:tc>
        <w:tc>
          <w:tcPr>
            <w:tcW w:type="dxa" w:w="1152"/>
          </w:tcPr>
          <w:p>
            <w:pPr>
              <w:jc w:val="right"/>
            </w:pPr>
            <w:r/>
            <w:r>
              <w:rPr>
                <w:sz w:val="18"/>
              </w:rPr>
              <w:t>$15.41</w:t>
            </w:r>
          </w:p>
        </w:tc>
        <w:tc>
          <w:tcPr>
            <w:tcW w:type="dxa" w:w="1152"/>
          </w:tcPr>
          <w:p>
            <w:pPr>
              <w:jc w:val="right"/>
            </w:pPr>
            <w:r/>
            <w:r>
              <w:rPr>
                <w:sz w:val="18"/>
              </w:rPr>
              <w:t>$13.67</w:t>
            </w:r>
          </w:p>
        </w:tc>
        <w:tc>
          <w:tcPr>
            <w:tcW w:type="dxa" w:w="1152"/>
          </w:tcPr>
          <w:p>
            <w:pPr>
              <w:jc w:val="right"/>
            </w:pPr>
            <w:r/>
            <w:r>
              <w:rPr>
                <w:sz w:val="18"/>
              </w:rPr>
              <w:t>$13.30</w:t>
            </w:r>
          </w:p>
        </w:tc>
        <w:tc>
          <w:tcPr>
            <w:tcW w:type="dxa" w:w="1152"/>
          </w:tcPr>
          <w:p>
            <w:pPr>
              <w:jc w:val="right"/>
            </w:pPr>
            <w:r/>
            <w:r>
              <w:rPr>
                <w:sz w:val="18"/>
              </w:rPr>
              <w:t>$12.25</w:t>
            </w:r>
          </w:p>
        </w:tc>
        <w:tc>
          <w:tcPr>
            <w:tcW w:type="dxa" w:w="1152"/>
          </w:tcPr>
          <w:p>
            <w:pPr>
              <w:jc w:val="right"/>
            </w:pPr>
            <w:r/>
            <w:r>
              <w:rPr>
                <w:sz w:val="18"/>
              </w:rPr>
              <w:t>$6.50</w:t>
            </w:r>
          </w:p>
        </w:tc>
        <w:tc>
          <w:tcPr>
            <w:tcW w:type="dxa" w:w="1152"/>
          </w:tcPr>
          <w:p>
            <w:pPr>
              <w:jc w:val="right"/>
            </w:pPr>
            <w:r/>
            <w:r>
              <w:rPr>
                <w:sz w:val="18"/>
              </w:rPr>
              <w:t>$5.92</w:t>
            </w:r>
          </w:p>
        </w:tc>
      </w:tr>
      <w:tr>
        <w:tc>
          <w:tcPr>
            <w:tcW w:type="dxa" w:w="3168"/>
          </w:tcPr>
          <w:p>
            <w:r/>
            <w:r>
              <w:rPr>
                <w:sz w:val="18"/>
              </w:rPr>
              <w:t>Dividends per share paid ($)</w:t>
            </w:r>
          </w:p>
        </w:tc>
        <w:tc>
          <w:tcPr>
            <w:tcW w:type="dxa" w:w="1152"/>
          </w:tcPr>
          <w:p>
            <w:pPr>
              <w:jc w:val="right"/>
            </w:pPr>
            <w:r/>
            <w:r>
              <w:rPr>
                <w:sz w:val="18"/>
              </w:rPr>
              <w:t>$8.55</w:t>
            </w:r>
          </w:p>
        </w:tc>
        <w:tc>
          <w:tcPr>
            <w:tcW w:type="dxa" w:w="1152"/>
          </w:tcPr>
          <w:p>
            <w:pPr>
              <w:jc w:val="right"/>
            </w:pPr>
            <w:r/>
            <w:r>
              <w:rPr>
                <w:sz w:val="18"/>
              </w:rPr>
              <w:t>$9.80</w:t>
            </w:r>
          </w:p>
        </w:tc>
        <w:tc>
          <w:tcPr>
            <w:tcW w:type="dxa" w:w="1152"/>
          </w:tcPr>
          <w:p>
            <w:pPr>
              <w:jc w:val="right"/>
            </w:pPr>
            <w:r/>
            <w:r>
              <w:rPr>
                <w:sz w:val="18"/>
              </w:rPr>
              <w:t>$10.55</w:t>
            </w:r>
          </w:p>
        </w:tc>
        <w:tc>
          <w:tcPr>
            <w:tcW w:type="dxa" w:w="1152"/>
          </w:tcPr>
          <w:p>
            <w:pPr>
              <w:jc w:val="right"/>
            </w:pPr>
            <w:r/>
            <w:r>
              <w:rPr>
                <w:sz w:val="18"/>
              </w:rPr>
              <w:t>$11.70</w:t>
            </w:r>
          </w:p>
        </w:tc>
        <w:tc>
          <w:tcPr>
            <w:tcW w:type="dxa" w:w="1152"/>
          </w:tcPr>
          <w:p>
            <w:pPr>
              <w:jc w:val="right"/>
            </w:pPr>
            <w:r/>
            <w:r>
              <w:rPr>
                <w:sz w:val="18"/>
              </w:rPr>
              <w:t>$5.70</w:t>
            </w:r>
          </w:p>
        </w:tc>
        <w:tc>
          <w:tcPr>
            <w:tcW w:type="dxa" w:w="1152"/>
          </w:tcPr>
          <w:p>
            <w:pPr>
              <w:jc w:val="right"/>
            </w:pPr>
            <w:r/>
            <w:r>
              <w:rPr>
                <w:sz w:val="18"/>
              </w:rPr>
              <w:t>$6.30</w:t>
            </w:r>
          </w:p>
        </w:tc>
      </w:tr>
      <w:tr>
        <w:tc>
          <w:tcPr>
            <w:tcW w:type="dxa" w:w="3168"/>
          </w:tcPr>
          <w:p>
            <w:r/>
            <w:r>
              <w:rPr>
                <w:sz w:val="18"/>
              </w:rPr>
              <w:t>Cash from operations ($M)</w:t>
            </w:r>
          </w:p>
        </w:tc>
        <w:tc>
          <w:tcPr>
            <w:tcW w:type="dxa" w:w="1152"/>
          </w:tcPr>
          <w:p>
            <w:pPr>
              <w:jc w:val="right"/>
            </w:pPr>
            <w:r/>
            <w:r>
              <w:rPr>
                <w:sz w:val="18"/>
              </w:rPr>
              <w:t>572.0</w:t>
            </w:r>
          </w:p>
        </w:tc>
        <w:tc>
          <w:tcPr>
            <w:tcW w:type="dxa" w:w="1152"/>
          </w:tcPr>
          <w:p>
            <w:pPr>
              <w:jc w:val="right"/>
            </w:pPr>
            <w:r/>
            <w:r>
              <w:rPr>
                <w:sz w:val="18"/>
              </w:rPr>
              <w:t>562.0</w:t>
            </w:r>
          </w:p>
        </w:tc>
        <w:tc>
          <w:tcPr>
            <w:tcW w:type="dxa" w:w="1152"/>
          </w:tcPr>
          <w:p>
            <w:pPr>
              <w:jc w:val="right"/>
            </w:pPr>
            <w:r/>
            <w:r>
              <w:rPr>
                <w:sz w:val="18"/>
              </w:rPr>
              <w:t>773.1</w:t>
            </w:r>
          </w:p>
        </w:tc>
        <w:tc>
          <w:tcPr>
            <w:tcW w:type="dxa" w:w="1152"/>
          </w:tcPr>
          <w:p>
            <w:pPr>
              <w:jc w:val="right"/>
            </w:pPr>
            <w:r/>
            <w:r>
              <w:rPr>
                <w:sz w:val="18"/>
              </w:rPr>
              <w:t>569.6</w:t>
            </w:r>
          </w:p>
        </w:tc>
        <w:tc>
          <w:tcPr>
            <w:tcW w:type="dxa" w:w="1152"/>
          </w:tcPr>
          <w:p>
            <w:pPr>
              <w:jc w:val="right"/>
            </w:pPr>
            <w:r/>
            <w:r>
              <w:rPr>
                <w:sz w:val="18"/>
              </w:rPr>
              <w:t>(185.1)</w:t>
            </w:r>
          </w:p>
        </w:tc>
        <w:tc>
          <w:tcPr>
            <w:tcW w:type="dxa" w:w="1152"/>
          </w:tcPr>
          <w:p>
            <w:pPr>
              <w:jc w:val="right"/>
            </w:pPr>
            <w:r/>
            <w:r>
              <w:rPr>
                <w:sz w:val="18"/>
              </w:rPr>
              <w:t>(21.4)</w:t>
            </w:r>
          </w:p>
        </w:tc>
      </w:tr>
    </w:tbl>
    <w:p>
      <w:pPr>
        <w:spacing w:after="40"/>
      </w:pPr>
    </w:p>
    <w:p>
      <w:r>
        <w:rPr>
          <w:i w:val="0"/>
          <w:color w:val="5B6475"/>
          <w:sz w:val="17"/>
        </w:rPr>
        <w:t>Source: Watsco 10-K filings FY2022–FY2025 (FY25 financial statements in Exhibit 13) and 10-Q filings for the six months to 30 June 2025 and 2026. 6M growth is versus 6M of the prior year.</w:t>
      </w:r>
    </w:p>
    <w:p>
      <w:pPr>
        <w:pStyle w:val="Heading1"/>
      </w:pPr>
      <w:r>
        <w:t>3. Assignment 1: written memo to the client (client-ready)</w:t>
      </w:r>
    </w:p>
    <w:p>
      <w:r>
        <w:rPr>
          <w:i w:val="0"/>
        </w:rPr>
        <w:t>Write a memo of no more than three pages (plus up to two pages of exhibits) that the Managing Director can send to the client. Use these sections, in this order:</w:t>
      </w:r>
    </w:p>
    <w:p>
      <w:pPr>
        <w:pStyle w:val="ListNumber"/>
      </w:pPr>
      <w:r>
        <w:t>Recommendation and price target. Rating (Outperform / Neutral / Underperform), 12-month price target and expected total return including dividends, in the first three sentences.</w:t>
      </w:r>
    </w:p>
    <w:p>
      <w:pPr>
        <w:pStyle w:val="ListNumber"/>
      </w:pPr>
      <w:r>
        <w:t>Investment thesis. Three numbered points, each tied to a number in your model.</w:t>
      </w:r>
    </w:p>
    <w:p>
      <w:pPr>
        <w:pStyle w:val="ListNumber"/>
      </w:pPr>
      <w:r>
        <w:t>Normalised earnings. What is a "normal" gross margin for Watsco after the 2025 OEM price pass-through, and what does that imply for FY26E–FY27E EPS?</w:t>
      </w:r>
    </w:p>
    <w:p>
      <w:pPr>
        <w:pStyle w:val="ListNumber"/>
      </w:pPr>
      <w:r>
        <w:t>Who owns what. Explain the Carrier joint ventures, how Carrier's minority interest should be valued in your equity bridge, and the two share classes. State the share count you divide by and why.</w:t>
      </w:r>
    </w:p>
    <w:p>
      <w:pPr>
        <w:pStyle w:val="ListNumber"/>
      </w:pPr>
      <w:r>
        <w:t>What the market is pricing in. Back out the exit multiple or perpetual growth rate implied by $279.90.</w:t>
      </w:r>
    </w:p>
    <w:p>
      <w:pPr>
        <w:pStyle w:val="ListNumber"/>
      </w:pPr>
      <w:r>
        <w:t>Valuation. DCF (both terminal methods) and trading comparables, summarised in a football field. Explain why the methods differ.</w:t>
      </w:r>
    </w:p>
    <w:p>
      <w:pPr>
        <w:pStyle w:val="ListNumber"/>
      </w:pPr>
      <w:r>
        <w:t>Capital allocation and risks. Dividend coverage, the Granite acquisition (quantify its effect under stated assumptions), housing and replacement demand, OEM pricing. At least one quantified downside case.</w:t>
      </w:r>
    </w:p>
    <w:p>
      <w:pPr>
        <w:pStyle w:val="ListNumber"/>
      </w:pPr>
      <w:r>
        <w:t>Catalysts. What you would watch at 3Q26 results and in the 2027 outlook.</w:t>
      </w:r>
    </w:p>
    <w:tbl>
      <w:tblPr>
        <w:tblW w:type="auto" w:w="0"/>
        <w:tblLook w:firstColumn="1" w:firstRow="1" w:lastColumn="0" w:lastRow="0" w:noHBand="0" w:noVBand="1" w:val="04A0"/>
        <w:tblBorders>
          <w:top w:val="single" w:sz="4" w:color="1E3A5F"/>
          <w:left w:val="single" w:sz="4" w:color="1E3A5F"/>
          <w:bottom w:val="single" w:sz="4" w:color="1E3A5F"/>
          <w:right w:val="single" w:sz="4" w:color="1E3A5F"/>
          <w:insideH w:val="single" w:sz="4" w:color="1E3A5F"/>
          <w:insideV w:val="single" w:sz="4" w:color="1E3A5F"/>
        </w:tblBorders>
      </w:tblPr>
      <w:tblGrid>
        <w:gridCol w:w="9360"/>
      </w:tblGrid>
      <w:tr>
        <w:tc>
          <w:tcPr>
            <w:tcW w:type="dxa" w:w="9360"/>
            <w:shd w:val="clear" w:color="auto" w:fill="F2F4F8"/>
          </w:tcPr>
          <w:p>
            <w:r/>
            <w:r>
              <w:rPr>
                <w:rFonts w:ascii="Georgia" w:hAnsi="Georgia"/>
                <w:b/>
                <w:color w:val="1E3A5F"/>
              </w:rPr>
              <w:t>Standards for the memo</w:t>
            </w:r>
          </w:p>
          <w:p>
            <w:r>
              <w:rPr>
                <w:sz w:val="20"/>
              </w:rPr>
              <w:t>Lead with the answer. Every important claim has a number and a source (filing, note or exhibit).</w:t>
            </w:r>
          </w:p>
          <w:p>
            <w:r>
              <w:rPr>
                <w:sz w:val="20"/>
              </w:rPr>
              <w:t>Separate facts (filed figures) from assumptions (label them). Label periods precisely: FY25A, LTM Jun-26, FY27E.</w:t>
            </w:r>
          </w:p>
          <w:p>
            <w:r>
              <w:rPr>
                <w:sz w:val="20"/>
              </w:rPr>
              <w:t>Give the strongest counter-argument to your call its own paragraph.</w:t>
            </w:r>
          </w:p>
        </w:tc>
      </w:tr>
    </w:tbl>
    <w:p>
      <w:pPr>
        <w:spacing w:after="40"/>
      </w:pPr>
    </w:p>
    <w:p>
      <w:pPr>
        <w:pStyle w:val="Heading1"/>
      </w:pPr>
      <w:r>
        <w:t>4. Assignment 2: financial model</w:t>
      </w:r>
    </w:p>
    <w:p>
      <w:r>
        <w:rPr>
          <w:i w:val="0"/>
        </w:rPr>
        <w:t>Build a five-year (FY26E–FY30E) integrated model in the template. Historical financials (FY22A–FY25A, 6M25A, 6M26A and the June 2025 and June 2026 balance sheets) are already entered from the filings and tie to the reported totals. You build every yellow cell.</w:t>
      </w:r>
    </w:p>
    <w:p>
      <w:pPr>
        <w:pStyle w:val="Heading2"/>
      </w:pPr>
      <w:r>
        <w:t>Deliverables</w:t>
      </w:r>
    </w:p>
    <w:p>
      <w:pPr>
        <w:pStyle w:val="ListNumber"/>
      </w:pPr>
      <w:r>
        <w:t>Revenue build: prior-year revenue × (1 + same-store growth) + revenue added by acquisitions (Jackson annualises into FY27E; Granite is excluded from the base case until it closes).</w:t>
      </w:r>
    </w:p>
    <w:p>
      <w:pPr>
        <w:pStyle w:val="ListNumber"/>
      </w:pPr>
      <w:r>
        <w:t>Working capital on days: DSO, DIO and DPO at year end, with a cash conversion cycle, and an explanation of why June balances are not representative.</w:t>
      </w:r>
    </w:p>
    <w:p>
      <w:pPr>
        <w:pStyle w:val="ListNumber"/>
      </w:pPr>
      <w:r>
        <w:t>Integrated three-statement forecast with two-class EPS, Carrier NCI and dividends; the balance sheet must balance in every year (Checks tab ALL CHECKS OK) with no plugs.</w:t>
      </w:r>
    </w:p>
    <w:p>
      <w:pPr>
        <w:pStyle w:val="ListNumber"/>
      </w:pPr>
      <w:r>
        <w:t>Debt schedule: seasonal revolver ($600M / $500M) with a minimum-cash draw and sweep, interest on opening balances, interest income on cash and Treasury bills.</w:t>
      </w:r>
    </w:p>
    <w:p>
      <w:pPr>
        <w:pStyle w:val="ListNumber"/>
      </w:pPr>
      <w:r>
        <w:t>DCF: unlevered free cash flow, WACC (CAPM, relevered peer beta), mid-period discounting from the 30 June 2026 balance sheet with a 2H26 stub, Gordon-growth and exit-multiple terminal values, implied cross-checks, and an equity bridge that deals with Carrier's minority interest explicitly.</w:t>
      </w:r>
    </w:p>
    <w:p>
      <w:pPr>
        <w:pStyle w:val="ListNumber"/>
      </w:pPr>
      <w:r>
        <w:t>Trading comparables: the five distributors in the template (FERG, POOL, SITE, CNM, GWW), LTM built as FY + YTD − prior YTD (note Ferguson's fiscal-year change), EV / LTM EBITDA and P / LTM EPS.</w:t>
      </w:r>
    </w:p>
    <w:p>
      <w:pPr>
        <w:pStyle w:val="ListNumber"/>
      </w:pPr>
      <w:r>
        <w:t>Sensitivities: WACC × g, WACC × exit multiple, revenue growth × EBITDA margin, as live formulas (no Data Tables). Football field.</w:t>
      </w:r>
    </w:p>
    <w:p>
      <w:pPr>
        <w:pStyle w:val="ListNumber"/>
      </w:pPr>
      <w:r>
        <w:t>A one-page Granite scenario: purchase multiple and EPS accretion/dilution under your stated margin and funding assumptions.</w:t>
      </w:r>
    </w:p>
    <w:p>
      <w:pPr>
        <w:pStyle w:val="Heading2"/>
      </w:pPr>
      <w:r>
        <w:t>Required conventions</w:t>
      </w:r>
    </w:p>
    <w:p>
      <w:pPr>
        <w:pStyle w:val="ListBullet"/>
      </w:pPr>
      <w:r>
        <w:rPr>
          <w:b/>
        </w:rPr>
        <w:t xml:space="preserve">Periods. </w:t>
      </w:r>
      <w:r>
        <w:t>Calendar years; LTM Jun-26 = FY25A + 6M26A − 6M25A as a formula.</w:t>
      </w:r>
    </w:p>
    <w:p>
      <w:pPr>
        <w:pStyle w:val="ListBullet"/>
      </w:pPr>
      <w:r>
        <w:rPr>
          <w:b/>
        </w:rPr>
        <w:t xml:space="preserve">Tax. </w:t>
      </w:r>
      <w:r>
        <w:t>Watsco's consolidated effective tax rate (~20–21% of pre-tax income) is lower than the ~23% it reports on income attributable to Watsco. Explain why and use the consolidated rate consistently.</w:t>
      </w:r>
    </w:p>
    <w:p>
      <w:pPr>
        <w:pStyle w:val="ListBullet"/>
      </w:pPr>
      <w:r>
        <w:rPr>
          <w:b/>
        </w:rPr>
        <w:t xml:space="preserve">Shares. </w:t>
      </w:r>
      <w:r>
        <w:t>Two-class EPS uses weighted shares excluding unvested restricted stock and deducts earnings allocated to it. Value per share must use all shares outstanding (Common + Class B, including restricted). Do not mix the two.</w:t>
      </w:r>
    </w:p>
    <w:p>
      <w:pPr>
        <w:pStyle w:val="ListBullet"/>
      </w:pPr>
      <w:r>
        <w:rPr>
          <w:b/>
        </w:rPr>
        <w:t xml:space="preserve">Valuation date. </w:t>
      </w:r>
      <w:r>
        <w:t>Discount to 30 June 2026 and roll the equity value forward to 9 October 2026; deduct the $3.30 dividend paid on 31 July 2026.</w:t>
      </w:r>
    </w:p>
    <w:p>
      <w:pPr>
        <w:pStyle w:val="ListBullet"/>
      </w:pPr>
      <w:r>
        <w:rPr>
          <w:b/>
        </w:rPr>
        <w:t xml:space="preserve">Market inputs. </w:t>
      </w:r>
      <w:r>
        <w:t>Use the price, share count, Treasury yield and peer data in the template. Any different ERP, beta or terminal assumption needs a dated source or a Judgment label with a rationale.</w:t>
      </w:r>
    </w:p>
    <w:p>
      <w:pPr>
        <w:pStyle w:val="ListBullet"/>
      </w:pPr>
      <w:r>
        <w:rPr>
          <w:b/>
        </w:rPr>
        <w:t xml:space="preserve">Signs and units. </w:t>
      </w:r>
      <w:r>
        <w:t>$ millions; costs positive and subtracted; cash flow statement as filed (outflows negative).</w:t>
      </w:r>
    </w:p>
    <w:p>
      <w:pPr>
        <w:pStyle w:val="Heading1"/>
      </w:pPr>
      <w:r>
        <w:t>5. Time budget</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7200"/>
        <w:gridCol w:w="2160"/>
      </w:tblGrid>
      <w:tr>
        <w:tc>
          <w:tcPr>
            <w:tcW w:type="dxa" w:w="7200"/>
            <w:shd w:val="clear" w:color="auto" w:fill="1E3A5F"/>
          </w:tcPr>
          <w:p>
            <w:r/>
            <w:r>
              <w:rPr>
                <w:b/>
                <w:color w:val="FFFFFF"/>
                <w:sz w:val="18"/>
              </w:rPr>
              <w:t>Task</w:t>
            </w:r>
          </w:p>
        </w:tc>
        <w:tc>
          <w:tcPr>
            <w:tcW w:type="dxa" w:w="2160"/>
            <w:shd w:val="clear" w:color="auto" w:fill="1E3A5F"/>
          </w:tcPr>
          <w:p>
            <w:r/>
            <w:r>
              <w:rPr>
                <w:b/>
                <w:color w:val="FFFFFF"/>
                <w:sz w:val="18"/>
              </w:rPr>
              <w:t>Suggested time</w:t>
            </w:r>
          </w:p>
        </w:tc>
      </w:tr>
      <w:tr>
        <w:tc>
          <w:tcPr>
            <w:tcW w:type="dxa" w:w="7200"/>
          </w:tcPr>
          <w:p>
            <w:r/>
            <w:r>
              <w:rPr>
                <w:sz w:val="18"/>
              </w:rPr>
              <w:t>Read the filings: 10-K FY25 Item 1 and Exhibit 13 (MD&amp;A; notes on the JVs, RSI, EPS, equity, debt), 10-Q 2Q26, 2Q26 release, Granite 8-K</w:t>
            </w:r>
          </w:p>
        </w:tc>
        <w:tc>
          <w:tcPr>
            <w:tcW w:type="dxa" w:w="2160"/>
          </w:tcPr>
          <w:p>
            <w:pPr>
              <w:jc w:val="right"/>
            </w:pPr>
            <w:r/>
            <w:r>
              <w:rPr>
                <w:sz w:val="18"/>
              </w:rPr>
              <w:t>2.0–2.5 h</w:t>
            </w:r>
          </w:p>
        </w:tc>
      </w:tr>
      <w:tr>
        <w:tc>
          <w:tcPr>
            <w:tcW w:type="dxa" w:w="7200"/>
          </w:tcPr>
          <w:p>
            <w:r/>
            <w:r>
              <w:rPr>
                <w:sz w:val="18"/>
              </w:rPr>
              <w:t>Revenue and working-capital build; income statement</w:t>
            </w:r>
          </w:p>
        </w:tc>
        <w:tc>
          <w:tcPr>
            <w:tcW w:type="dxa" w:w="2160"/>
          </w:tcPr>
          <w:p>
            <w:pPr>
              <w:jc w:val="right"/>
            </w:pPr>
            <w:r/>
            <w:r>
              <w:rPr>
                <w:sz w:val="18"/>
              </w:rPr>
              <w:t>2.0 h</w:t>
            </w:r>
          </w:p>
        </w:tc>
      </w:tr>
      <w:tr>
        <w:tc>
          <w:tcPr>
            <w:tcW w:type="dxa" w:w="7200"/>
          </w:tcPr>
          <w:p>
            <w:r/>
            <w:r>
              <w:rPr>
                <w:sz w:val="18"/>
              </w:rPr>
              <w:t>Balance sheet, cash flow, debt; balance the model</w:t>
            </w:r>
          </w:p>
        </w:tc>
        <w:tc>
          <w:tcPr>
            <w:tcW w:type="dxa" w:w="2160"/>
          </w:tcPr>
          <w:p>
            <w:pPr>
              <w:jc w:val="right"/>
            </w:pPr>
            <w:r/>
            <w:r>
              <w:rPr>
                <w:sz w:val="18"/>
              </w:rPr>
              <w:t>2.0–3.0 h</w:t>
            </w:r>
          </w:p>
        </w:tc>
      </w:tr>
      <w:tr>
        <w:tc>
          <w:tcPr>
            <w:tcW w:type="dxa" w:w="7200"/>
          </w:tcPr>
          <w:p>
            <w:r/>
            <w:r>
              <w:rPr>
                <w:sz w:val="18"/>
              </w:rPr>
              <w:t>DCF, comps, sensitivities, football field, Granite scenario</w:t>
            </w:r>
          </w:p>
        </w:tc>
        <w:tc>
          <w:tcPr>
            <w:tcW w:type="dxa" w:w="2160"/>
          </w:tcPr>
          <w:p>
            <w:pPr>
              <w:jc w:val="right"/>
            </w:pPr>
            <w:r/>
            <w:r>
              <w:rPr>
                <w:sz w:val="18"/>
              </w:rPr>
              <w:t>2.5 h</w:t>
            </w:r>
          </w:p>
        </w:tc>
      </w:tr>
      <w:tr>
        <w:tc>
          <w:tcPr>
            <w:tcW w:type="dxa" w:w="7200"/>
          </w:tcPr>
          <w:p>
            <w:r/>
            <w:r>
              <w:rPr>
                <w:sz w:val="18"/>
              </w:rPr>
              <w:t>Write the memo and exhibits</w:t>
            </w:r>
          </w:p>
        </w:tc>
        <w:tc>
          <w:tcPr>
            <w:tcW w:type="dxa" w:w="2160"/>
          </w:tcPr>
          <w:p>
            <w:pPr>
              <w:jc w:val="right"/>
            </w:pPr>
            <w:r/>
            <w:r>
              <w:rPr>
                <w:sz w:val="18"/>
              </w:rPr>
              <w:t>2.5–3.0 h</w:t>
            </w:r>
          </w:p>
        </w:tc>
      </w:tr>
      <w:tr>
        <w:tc>
          <w:tcPr>
            <w:tcW w:type="dxa" w:w="7200"/>
          </w:tcPr>
          <w:p>
            <w:r/>
            <w:r>
              <w:rPr>
                <w:sz w:val="18"/>
              </w:rPr>
              <w:t>Review</w:t>
            </w:r>
          </w:p>
        </w:tc>
        <w:tc>
          <w:tcPr>
            <w:tcW w:type="dxa" w:w="2160"/>
          </w:tcPr>
          <w:p>
            <w:pPr>
              <w:jc w:val="right"/>
            </w:pPr>
            <w:r/>
            <w:r>
              <w:rPr>
                <w:sz w:val="18"/>
              </w:rPr>
              <w:t>1.0 h</w:t>
            </w:r>
          </w:p>
        </w:tc>
      </w:tr>
      <w:tr>
        <w:tc>
          <w:tcPr>
            <w:tcW w:type="dxa" w:w="7200"/>
          </w:tcPr>
          <w:p>
            <w:r/>
            <w:r>
              <w:rPr>
                <w:b/>
                <w:sz w:val="18"/>
              </w:rPr>
              <w:t>Total</w:t>
            </w:r>
          </w:p>
        </w:tc>
        <w:tc>
          <w:tcPr>
            <w:tcW w:type="dxa" w:w="2160"/>
          </w:tcPr>
          <w:p>
            <w:pPr>
              <w:jc w:val="right"/>
            </w:pPr>
            <w:r/>
            <w:r>
              <w:rPr>
                <w:b/>
                <w:sz w:val="18"/>
              </w:rPr>
              <w:t>12–14 h over 1–2 days</w:t>
            </w:r>
          </w:p>
        </w:tc>
      </w:tr>
    </w:tbl>
    <w:p>
      <w:pPr>
        <w:spacing w:after="40"/>
      </w:pPr>
    </w:p>
    <w:p>
      <w:pPr>
        <w:pStyle w:val="Heading1"/>
      </w:pPr>
      <w:r>
        <w:t>6. How you will be graded</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304"/>
        <w:gridCol w:w="1007"/>
        <w:gridCol w:w="6048"/>
      </w:tblGrid>
      <w:tr>
        <w:tc>
          <w:tcPr>
            <w:tcW w:type="dxa" w:w="2304"/>
            <w:shd w:val="clear" w:color="auto" w:fill="1E3A5F"/>
          </w:tcPr>
          <w:p>
            <w:r/>
            <w:r>
              <w:rPr>
                <w:b/>
                <w:color w:val="FFFFFF"/>
                <w:sz w:val="18"/>
              </w:rPr>
              <w:t>Area</w:t>
            </w:r>
          </w:p>
        </w:tc>
        <w:tc>
          <w:tcPr>
            <w:tcW w:type="dxa" w:w="1008"/>
            <w:shd w:val="clear" w:color="auto" w:fill="1E3A5F"/>
          </w:tcPr>
          <w:p>
            <w:r/>
            <w:r>
              <w:rPr>
                <w:b/>
                <w:color w:val="FFFFFF"/>
                <w:sz w:val="18"/>
              </w:rPr>
              <w:t>Weight</w:t>
            </w:r>
          </w:p>
        </w:tc>
        <w:tc>
          <w:tcPr>
            <w:tcW w:type="dxa" w:w="6048"/>
            <w:shd w:val="clear" w:color="auto" w:fill="1E3A5F"/>
          </w:tcPr>
          <w:p>
            <w:r/>
            <w:r>
              <w:rPr>
                <w:b/>
                <w:color w:val="FFFFFF"/>
                <w:sz w:val="18"/>
              </w:rPr>
              <w:t>What earns full credit</w:t>
            </w:r>
          </w:p>
        </w:tc>
      </w:tr>
      <w:tr>
        <w:tc>
          <w:tcPr>
            <w:tcW w:type="dxa" w:w="2304"/>
          </w:tcPr>
          <w:p>
            <w:r/>
            <w:r>
              <w:rPr>
                <w:sz w:val="18"/>
              </w:rPr>
              <w:t>Model integrity</w:t>
            </w:r>
          </w:p>
        </w:tc>
        <w:tc>
          <w:tcPr>
            <w:tcW w:type="dxa" w:w="1008"/>
          </w:tcPr>
          <w:p>
            <w:pPr>
              <w:jc w:val="right"/>
            </w:pPr>
            <w:r/>
            <w:r>
              <w:rPr>
                <w:sz w:val="18"/>
              </w:rPr>
              <w:t>20%</w:t>
            </w:r>
          </w:p>
        </w:tc>
        <w:tc>
          <w:tcPr>
            <w:tcW w:type="dxa" w:w="6048"/>
          </w:tcPr>
          <w:p>
            <w:r/>
            <w:r>
              <w:rPr>
                <w:sz w:val="18"/>
              </w:rPr>
              <w:t>Balances in every year; cash ties; no hard-codes in forecast formulas; checks pass; periods and units labelled.</w:t>
            </w:r>
          </w:p>
        </w:tc>
      </w:tr>
      <w:tr>
        <w:tc>
          <w:tcPr>
            <w:tcW w:type="dxa" w:w="2304"/>
          </w:tcPr>
          <w:p>
            <w:r/>
            <w:r>
              <w:rPr>
                <w:sz w:val="18"/>
              </w:rPr>
              <w:t>Forecast quality</w:t>
            </w:r>
          </w:p>
        </w:tc>
        <w:tc>
          <w:tcPr>
            <w:tcW w:type="dxa" w:w="1008"/>
          </w:tcPr>
          <w:p>
            <w:pPr>
              <w:jc w:val="right"/>
            </w:pPr>
            <w:r/>
            <w:r>
              <w:rPr>
                <w:sz w:val="18"/>
              </w:rPr>
              <w:t>20%</w:t>
            </w:r>
          </w:p>
        </w:tc>
        <w:tc>
          <w:tcPr>
            <w:tcW w:type="dxa" w:w="6048"/>
          </w:tcPr>
          <w:p>
            <w:r/>
            <w:r>
              <w:rPr>
                <w:sz w:val="18"/>
              </w:rPr>
              <w:t>Same-store plus acquired revenue; normalised gross margin argued from the filings; working capital on days with seasonality understood; every assumption sourced or labelled Judgment.</w:t>
            </w:r>
          </w:p>
        </w:tc>
      </w:tr>
      <w:tr>
        <w:tc>
          <w:tcPr>
            <w:tcW w:type="dxa" w:w="2304"/>
          </w:tcPr>
          <w:p>
            <w:r/>
            <w:r>
              <w:rPr>
                <w:sz w:val="18"/>
              </w:rPr>
              <w:t>Valuation</w:t>
            </w:r>
          </w:p>
        </w:tc>
        <w:tc>
          <w:tcPr>
            <w:tcW w:type="dxa" w:w="1008"/>
          </w:tcPr>
          <w:p>
            <w:pPr>
              <w:jc w:val="right"/>
            </w:pPr>
            <w:r/>
            <w:r>
              <w:rPr>
                <w:sz w:val="18"/>
              </w:rPr>
              <w:t>20%</w:t>
            </w:r>
          </w:p>
        </w:tc>
        <w:tc>
          <w:tcPr>
            <w:tcW w:type="dxa" w:w="6048"/>
          </w:tcPr>
          <w:p>
            <w:r/>
            <w:r>
              <w:rPr>
                <w:sz w:val="18"/>
              </w:rPr>
              <w:t>Correct UFCF and WACC; stub and mid-period; terminal value cross-checked; correct treatment of Carrier NCI, the RSI stake and the share count; comps built correctly.</w:t>
            </w:r>
          </w:p>
        </w:tc>
      </w:tr>
      <w:tr>
        <w:tc>
          <w:tcPr>
            <w:tcW w:type="dxa" w:w="2304"/>
          </w:tcPr>
          <w:p>
            <w:r/>
            <w:r>
              <w:rPr>
                <w:sz w:val="18"/>
              </w:rPr>
              <w:t>Memo: thesis and judgement</w:t>
            </w:r>
          </w:p>
        </w:tc>
        <w:tc>
          <w:tcPr>
            <w:tcW w:type="dxa" w:w="1008"/>
          </w:tcPr>
          <w:p>
            <w:pPr>
              <w:jc w:val="right"/>
            </w:pPr>
            <w:r/>
            <w:r>
              <w:rPr>
                <w:sz w:val="18"/>
              </w:rPr>
              <w:t>25%</w:t>
            </w:r>
          </w:p>
        </w:tc>
        <w:tc>
          <w:tcPr>
            <w:tcW w:type="dxa" w:w="6048"/>
          </w:tcPr>
          <w:p>
            <w:r/>
            <w:r>
              <w:rPr>
                <w:sz w:val="18"/>
              </w:rPr>
              <w:t>Clear call with price target; priced-in analysis; dividend coverage and Granite addressed with numbers; strongest counter-argument; quantified downside.</w:t>
            </w:r>
          </w:p>
        </w:tc>
      </w:tr>
      <w:tr>
        <w:tc>
          <w:tcPr>
            <w:tcW w:type="dxa" w:w="2304"/>
          </w:tcPr>
          <w:p>
            <w:r/>
            <w:r>
              <w:rPr>
                <w:sz w:val="18"/>
              </w:rPr>
              <w:t>Memo: communication</w:t>
            </w:r>
          </w:p>
        </w:tc>
        <w:tc>
          <w:tcPr>
            <w:tcW w:type="dxa" w:w="1008"/>
          </w:tcPr>
          <w:p>
            <w:pPr>
              <w:jc w:val="right"/>
            </w:pPr>
            <w:r/>
            <w:r>
              <w:rPr>
                <w:sz w:val="18"/>
              </w:rPr>
              <w:t>15%</w:t>
            </w:r>
          </w:p>
        </w:tc>
        <w:tc>
          <w:tcPr>
            <w:tcW w:type="dxa" w:w="6048"/>
          </w:tcPr>
          <w:p>
            <w:r/>
            <w:r>
              <w:rPr>
                <w:sz w:val="18"/>
              </w:rPr>
              <w:t>Client-ready, concise, exhibits that support the argument, precise labels and sources.</w:t>
            </w:r>
          </w:p>
        </w:tc>
      </w:tr>
    </w:tbl>
    <w:p>
      <w:pPr>
        <w:spacing w:after="40"/>
      </w:pPr>
    </w:p>
    <w:p>
      <w:pPr>
        <w:pStyle w:val="Heading1"/>
      </w:pPr>
      <w:r>
        <w:t>7. Submission</w:t>
      </w:r>
    </w:p>
    <w:p>
      <w:pPr>
        <w:pStyle w:val="ListBullet"/>
      </w:pPr>
      <w:r>
        <w:t>Your workbook (WSO-model-&lt;your initials&gt;.xlsx) with the Checks tab showing ALL CHECKS OK.</w:t>
      </w:r>
    </w:p>
    <w:p>
      <w:pPr>
        <w:pStyle w:val="ListBullet"/>
      </w:pPr>
      <w:r>
        <w:t>Your memo (PDF or Word; three pages plus up to two pages of exhibits).</w:t>
      </w:r>
    </w:p>
    <w:p>
      <w:pPr>
        <w:pStyle w:val="ListBullet"/>
      </w:pPr>
      <w:r>
        <w:t>A list of every assumption that differs from the recent run-rate, with the reason.</w:t>
      </w:r>
    </w:p>
    <w:p>
      <w:r>
        <w:rPr>
          <w:i/>
          <w:color w:val="5B6475"/>
          <w:sz w:val="18"/>
        </w:rPr>
        <w:t>This case uses public information only (SEC filings, company releases and market data as of 9 October 2026). It is a training exercise, not investment advice.</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475"/>
        <w:sz w:val="16"/>
      </w:rPr>
      <w:t xml:space="preserve">IC Simulator · Watsco (WSO) · Advanced (take-home 1–2 days) · Practice use only · Page </w:t>
    </w:r>
    <w:r>
      <w:rPr>
        <w:sz w:val="16"/>
      </w:rPr>
      <w:fldChar w:fldCharType="begin"/>
      <w:instrText xml:space="preserve">PAGE</w:instrText>
      <w:fldChar w:fldCharType="end"/>
    </w:r>
    <w:r>
      <w:rPr>
        <w:color w:val="5B6475"/>
        <w:sz w:val="16"/>
      </w:rP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eastAsia="Georgia"/>
      <w:b/>
      <w:bCs/>
      <w:color w:val="1E3A5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eastAsia="Georgia"/>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Georgia" w:hAnsi="Georgia" w:eastAsia="Georgia"/>
      <w:b/>
      <w:bCs/>
      <w:color w:val="1E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Georgia" w:hAnsi="Georgia" w:eastAsia="Georgia"/>
      <w:b/>
      <w:color w:val="1E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