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Watsco: study guide</w:t>
      </w:r>
    </w:p>
    <w:p>
      <w:r>
        <w:rPr>
          <w:rFonts w:ascii="Georgia" w:hAnsi="Georgia"/>
          <w:color w:val="5B6475"/>
          <w:sz w:val="26"/>
        </w:rPr>
        <w:t>Concepts, a modeling walkthrough, common mistakes and interview questions</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Company</w:t>
            </w:r>
          </w:p>
        </w:tc>
        <w:tc>
          <w:tcPr>
            <w:tcW w:type="dxa" w:w="6768"/>
          </w:tcPr>
          <w:p>
            <w:r/>
            <w:r>
              <w:rPr>
                <w:sz w:val="19"/>
              </w:rPr>
              <w:t>Watsco, Inc. (NYSE: WSO; Common and Class B shares) · Miami, Florida · calendar fiscal year</w:t>
            </w:r>
          </w:p>
        </w:tc>
      </w:tr>
      <w:tr>
        <w:tc>
          <w:tcPr>
            <w:tcW w:type="dxa" w:w="2592"/>
            <w:shd w:val="clear" w:color="auto" w:fill="E4EAF3"/>
          </w:tcPr>
          <w:p>
            <w:r/>
            <w:r>
              <w:rPr>
                <w:b/>
                <w:sz w:val="19"/>
              </w:rPr>
              <w:t>Case date</w:t>
            </w:r>
          </w:p>
        </w:tc>
        <w:tc>
          <w:tcPr>
            <w:tcW w:type="dxa" w:w="6768"/>
          </w:tcPr>
          <w:p>
            <w:r/>
            <w:r>
              <w:rPr>
                <w:sz w:val="19"/>
              </w:rPr>
              <w:t>Friday 9 October 2026 (market data as of the close). Latest filing: 10-Q for the six months to 30 June 2026.</w:t>
            </w:r>
          </w:p>
        </w:tc>
      </w:tr>
      <w:tr>
        <w:tc>
          <w:tcPr>
            <w:tcW w:type="dxa" w:w="2592"/>
            <w:shd w:val="clear" w:color="auto" w:fill="E4EAF3"/>
          </w:tcPr>
          <w:p>
            <w:r/>
            <w:r>
              <w:rPr>
                <w:b/>
                <w:sz w:val="19"/>
              </w:rPr>
              <w:t>Level</w:t>
            </w:r>
          </w:p>
        </w:tc>
        <w:tc>
          <w:tcPr>
            <w:tcW w:type="dxa" w:w="6768"/>
          </w:tcPr>
          <w:p>
            <w:r/>
            <w:r>
              <w:rPr>
                <w:sz w:val="19"/>
              </w:rPr>
              <w:t>Advanced (take-home, 1–2 days) · uncalibrated</w:t>
            </w:r>
          </w:p>
        </w:tc>
      </w:tr>
      <w:tr>
        <w:tc>
          <w:tcPr>
            <w:tcW w:type="dxa" w:w="2592"/>
            <w:shd w:val="clear" w:color="auto" w:fill="E4EAF3"/>
          </w:tcPr>
          <w:p>
            <w:r/>
            <w:r>
              <w:rPr>
                <w:b/>
                <w:sz w:val="19"/>
              </w:rPr>
              <w:t>Materials</w:t>
            </w:r>
          </w:p>
        </w:tc>
        <w:tc>
          <w:tcPr>
            <w:tcW w:type="dxa" w:w="6768"/>
          </w:tcPr>
          <w:p>
            <w:r/>
            <w:r>
              <w:rPr>
                <w:sz w:val="19"/>
              </w:rPr>
              <w:t>WSO-student-model-template.xlsx; this brief; the study guide; public SEC filings (links in the template Cover and the study guide)</w:t>
            </w:r>
          </w:p>
        </w:tc>
      </w:tr>
    </w:tbl>
    <w:p>
      <w:pPr>
        <w:spacing w:after="40"/>
      </w:pPr>
    </w:p>
    <w:p>
      <w:r>
        <w:rPr>
          <w:i/>
        </w:rPr>
        <w:t>Read this before you start. It explains what the case tests and how a strong candidate approaches it. It does not give you the answer: the valuation and the recommendation are yours.</w:t>
      </w:r>
    </w:p>
    <w:p>
      <w:pPr>
        <w:pStyle w:val="Heading1"/>
      </w:pPr>
      <w:r>
        <w:t>1. Concepts this case tests</w:t>
      </w:r>
    </w:p>
    <w:p>
      <w:pPr>
        <w:pStyle w:val="Heading2"/>
      </w:pPr>
      <w:r>
        <w:t>1.1 Distribution working capital</w:t>
      </w:r>
    </w:p>
    <w:p>
      <w:r>
        <w:rPr>
          <w:i w:val="0"/>
        </w:rPr>
        <w:t>A distributor earns a thin margin on a large flow of goods, so working capital is most of its invested capital. At FY25 Watsco carried $1,386M of inventory, $796M of receivables and $350M of payables against $7.2bn of revenue: trade working capital of roughly 22% of revenue, several times its net PP&amp;E ($136M).</w:t>
      </w:r>
    </w:p>
    <w:p>
      <w:pPr>
        <w:pStyle w:val="ListBullet"/>
      </w:pPr>
      <w:r>
        <w:rPr>
          <w:b/>
        </w:rPr>
        <w:t xml:space="preserve">Measure it in days. </w:t>
      </w:r>
      <w:r>
        <w:t>DSO = AR ÷ revenue × 365; DIO = inventory ÷ COGS × 365; DPO = AP ÷ COGS × 365; cash conversion cycle = DSO + DIO − DPO. Watsco's DIO ran 91–97 days FY22–FY25.</w:t>
      </w:r>
    </w:p>
    <w:p>
      <w:pPr>
        <w:pStyle w:val="ListBullet"/>
      </w:pPr>
      <w:r>
        <w:rPr>
          <w:b/>
        </w:rPr>
        <w:t xml:space="preserve">Seasonality. </w:t>
      </w:r>
      <w:r>
        <w:t>Inventory is built in the first half for the cooling season: June 2025 inventory was 41% above December 2024. That is why 1H operating cash flow is negative (−$185M in 1H25, −$21M in 1H26). Never forecast from a June balance sheet or annualise half-year working-capital flows.</w:t>
      </w:r>
    </w:p>
    <w:p>
      <w:pPr>
        <w:pStyle w:val="ListBullet"/>
      </w:pPr>
      <w:r>
        <w:rPr>
          <w:b/>
        </w:rPr>
        <w:t xml:space="preserve">Counter-cyclical cash flow. </w:t>
      </w:r>
      <w:r>
        <w:t>When sales fall, a distributor releases working capital, so cash flow holds up better than earnings (FY25 receivables and inventory released $95M). When growth returns, working capital absorbs cash. Your UFCF should show this.</w:t>
      </w:r>
    </w:p>
    <w:p>
      <w:pPr>
        <w:pStyle w:val="ListBullet"/>
      </w:pPr>
      <w:r>
        <w:rPr>
          <w:b/>
        </w:rPr>
        <w:t xml:space="preserve">Inventory is a decision. </w:t>
      </w:r>
      <w:r>
        <w:t>In a product transition (410A to A2L refrigerant systems) inventory levels reflect management choices and OEM pricing, not just demand. Read the MD&amp;A explanation before you set DIO.</w:t>
      </w:r>
    </w:p>
    <w:p>
      <w:pPr>
        <w:pStyle w:val="Heading2"/>
      </w:pPr>
      <w:r>
        <w:t>1.2 The Carrier joint ventures and non-controlling interest</w:t>
      </w:r>
    </w:p>
    <w:p>
      <w:r>
        <w:rPr>
          <w:i w:val="0"/>
        </w:rPr>
        <w:t>Watsco owns 80% of Carrier Enterprise I, II and Totaline Enterprise and 60% of Carrier Enterprise III; Carrier owns the rest. Because Watsco controls them, it consolidates 100% of their revenue, costs and balance sheets and shows Carrier's share of net income (FY25: $90.6M, about 15% of consolidated net income) and of equity ($478.8M at 30 June 2026) as non-controlling interest (NCI).</w:t>
      </w:r>
    </w:p>
    <w:p>
      <w:pPr>
        <w:pStyle w:val="ListBullet"/>
      </w:pPr>
      <w:r>
        <w:rPr>
          <w:b/>
        </w:rPr>
        <w:t xml:space="preserve">Valuation consequence. </w:t>
      </w:r>
      <w:r>
        <w:t>A DCF of consolidated cash flows values 100% of the JVs. Carrier's share must come off on the way to Watsco's equity value, and it should be deducted at market value, not at book value. Book NCI reflects historical contributed capital plus retained earnings, not what Carrier's 15% of the earnings stream is worth. Work out the gap yourself: it is large.</w:t>
      </w:r>
    </w:p>
    <w:p>
      <w:pPr>
        <w:pStyle w:val="ListBullet"/>
      </w:pPr>
      <w:r>
        <w:rPr>
          <w:b/>
        </w:rPr>
        <w:t xml:space="preserve">Comps consequence. </w:t>
      </w:r>
      <w:r>
        <w:t>To compare EV/EBITDA with peers, Watsco's enterprise value must include NCI on the same basis, because consolidated EBITDA includes Carrier's share.</w:t>
      </w:r>
    </w:p>
    <w:p>
      <w:pPr>
        <w:pStyle w:val="ListBullet"/>
      </w:pPr>
      <w:r>
        <w:rPr>
          <w:b/>
        </w:rPr>
        <w:t xml:space="preserve">Tax. </w:t>
      </w:r>
      <w:r>
        <w:t>The JVs are taxed as partnerships: each owner pays tax on its own share. Watsco's consolidated income tax (FY25 $150.1M) is therefore only about 20% of consolidated pre-tax income; Watsco's reported 23.0% rate is measured on income attributable to Watsco. Use one basis consistently.</w:t>
      </w:r>
    </w:p>
    <w:p>
      <w:pPr>
        <w:pStyle w:val="ListBullet"/>
      </w:pPr>
      <w:r>
        <w:rPr>
          <w:b/>
        </w:rPr>
        <w:t xml:space="preserve">Strategic value. </w:t>
      </w:r>
      <w:r>
        <w:t>The JVs give Watsco exclusive distribution of Carrier, Bryant and Payne products in its territories. That relationship is a reason for a premium multiple, and a concentration risk.</w:t>
      </w:r>
    </w:p>
    <w:p>
      <w:pPr>
        <w:pStyle w:val="Heading2"/>
      </w:pPr>
      <w:r>
        <w:t>1.3 The Russell Sigler (RSI) stake</w:t>
      </w:r>
    </w:p>
    <w:p>
      <w:r>
        <w:rPr>
          <w:i w:val="0"/>
        </w:rPr>
        <w:t>Carrier Enterprise I owns 38.4% of Russell Sigler, a Carrier distributor in the western US, accounted for by the equity method: Watsco's share of RSI's net income ($27.8M in FY25) is reported as "other income" inside operating income. Two points matter. First, it is non-cash unless RSI pays dividends, so decide whether it belongs in EBITDA and UFCF (and stay consistent with the multiple you apply). Second, the RSI shareholders have a right to sell their remaining shares to Carrier Enterprise I at a price based on the higher of book value or a multiple of EBIT. That is a contingent future cash call you should mention.</w:t>
      </w:r>
    </w:p>
    <w:p>
      <w:pPr>
        <w:pStyle w:val="Heading2"/>
      </w:pPr>
      <w:r>
        <w:t>1.4 Two share classes and participating restricted stock</w:t>
      </w:r>
    </w:p>
    <w:p>
      <w:pPr>
        <w:pStyle w:val="ListBullet"/>
      </w:pPr>
      <w:r>
        <w:rPr>
          <w:b/>
        </w:rPr>
        <w:t xml:space="preserve">Control. </w:t>
      </w:r>
      <w:r>
        <w:t>Class B shares carry ten votes and elect 75% of the board; Common elects 25%. Economically the classes are identical (Class B converts 1:1 and cannot receive a lower dividend), so value per share is the same for both. The governance discount (or not) is a judgement for the memo, not a modelling adjustment.</w:t>
      </w:r>
    </w:p>
    <w:p>
      <w:pPr>
        <w:pStyle w:val="ListBullet"/>
      </w:pPr>
      <w:r>
        <w:rPr>
          <w:b/>
        </w:rPr>
        <w:t xml:space="preserve">Restricted stock. </w:t>
      </w:r>
      <w:r>
        <w:t>Watsco grants restricted shares that are outstanding and receive dividends before they vest (2.66M at FY25). Under the two-class method, EPS deducts the earnings allocated to them (FY25 $32.8M) and divides by weighted shares excluding them (37.90M diluted).</w:t>
      </w:r>
    </w:p>
    <w:p>
      <w:pPr>
        <w:pStyle w:val="ListBullet"/>
      </w:pPr>
      <w:r>
        <w:rPr>
          <w:b/>
        </w:rPr>
        <w:t xml:space="preserve">The trap. </w:t>
      </w:r>
      <w:r>
        <w:t>For value per share, divide equity value by all shares outstanding (Common + Class B, including restricted: 41.25M at 4 August 2026) plus dilutive options. Dividing by the 38M EPS share count overstates value by about 8%. P/E on reported EPS is still consistent, because both numerator and denominator exclude the restricted shares' allocation.</w:t>
      </w:r>
    </w:p>
    <w:p>
      <w:pPr>
        <w:pStyle w:val="Heading2"/>
      </w:pPr>
      <w:r>
        <w:t>1.5 Dividends, payout and equity issuance</w:t>
      </w:r>
    </w:p>
    <w:p>
      <w:r>
        <w:rPr>
          <w:i w:val="0"/>
        </w:rPr>
        <w:t>Watsco pays out almost everything it earns: FY25 dividends paid ($473.8M) were 95% of net income attributable to Watsco, and with Carrier's distributions total payouts exceeded free cash flow. In FY24 it sold $281.8M of new stock at the market. A dividend that is funded partly with equity and working-capital release is not a problem in one year, but it is a constraint on your forecast: check payout and coverage every year, and decide what the board does if EPS does not recover.</w:t>
      </w:r>
    </w:p>
    <w:p>
      <w:pPr>
        <w:pStyle w:val="Heading2"/>
      </w:pPr>
      <w:r>
        <w:t>1.6 Acquisitions paid in stock</w:t>
      </w:r>
    </w:p>
    <w:p>
      <w:r>
        <w:rPr>
          <w:i w:val="0"/>
        </w:rPr>
        <w:t>Watsco often pays sellers in its own shares (Jackson: 517,884 shares, $186.2M). In the cash flow statement that consideration is non-cash; it shows up in goodwill and paid-in capital. Acquired revenue is not organic: separate same-store growth from acquired revenue, and remember that acquired working capital (Jackson added $63.8M) arrives with the deal, not through operating cash flow. For a pending deal (Granite), keep it out of the base case and analyse it as a scenario: purchase multiple, funding (cash vs shares), lost interest income and EPS accretion.</w:t>
      </w:r>
    </w:p>
    <w:p>
      <w:pPr>
        <w:pStyle w:val="Heading2"/>
      </w:pPr>
      <w:r>
        <w:t>1.7 Valuation mechanics you must get right</w:t>
      </w:r>
    </w:p>
    <w:p>
      <w:pPr>
        <w:pStyle w:val="ListBullet"/>
      </w:pPr>
      <w:r>
        <w:rPr>
          <w:b/>
        </w:rPr>
        <w:t xml:space="preserve">Stub period. </w:t>
      </w:r>
      <w:r>
        <w:t>Balance sheet at 30 June 2026: the first cash flow is 2H26 = FY26E UFCF − 1H26 actual UFCF. For Watsco 2H cash flow is seasonally strong because the inventory build unwinds.</w:t>
      </w:r>
    </w:p>
    <w:p>
      <w:pPr>
        <w:pStyle w:val="ListBullet"/>
      </w:pPr>
      <w:r>
        <w:rPr>
          <w:b/>
        </w:rPr>
        <w:t xml:space="preserve">Mid-period discounting and roll-forward. </w:t>
      </w:r>
      <w:r>
        <w:t>Discount each year at its midpoint; roll the 30 June value to 9 October at the cost of equity and deduct the $3.30 dividend paid on 31 July.</w:t>
      </w:r>
    </w:p>
    <w:p>
      <w:pPr>
        <w:pStyle w:val="ListBullet"/>
      </w:pPr>
      <w:r>
        <w:rPr>
          <w:b/>
        </w:rPr>
        <w:t xml:space="preserve">WACC. </w:t>
      </w:r>
      <w:r>
        <w:t>CAPM with an ERP paired with the risk-free rate it was estimated over; unlever peer betas (Hamada), take the median and relever at Watsco's (near-zero) leverage.</w:t>
      </w:r>
    </w:p>
    <w:p>
      <w:pPr>
        <w:pStyle w:val="ListBullet"/>
      </w:pPr>
      <w:r>
        <w:rPr>
          <w:b/>
        </w:rPr>
        <w:t xml:space="preserve">Terminal value cross-check. </w:t>
      </w:r>
      <w:r>
        <w:t>A Gordon TV implies an exit multiple and vice versa. Compare both with the peer range and with Watsco's own multiple.</w:t>
      </w:r>
    </w:p>
    <w:p>
      <w:pPr>
        <w:pStyle w:val="ListBullet"/>
      </w:pPr>
      <w:r>
        <w:rPr>
          <w:b/>
        </w:rPr>
        <w:t xml:space="preserve">Reverse DCF. </w:t>
      </w:r>
      <w:r>
        <w:t>Solve for the growth or multiple that equates the DCF to $279.90. That is the cleanest statement of what is priced in.</w:t>
      </w:r>
    </w:p>
    <w:p>
      <w:pPr>
        <w:pStyle w:val="Heading1"/>
      </w:pPr>
      <w:r>
        <w:t>2. Modeling walkthrough</w:t>
      </w:r>
    </w:p>
    <w:p>
      <w:pPr>
        <w:pStyle w:val="ListNumber"/>
      </w:pPr>
      <w:r>
        <w:t>Read the Cover, then confirm every historical tie on the Checks tab is OK. Note that the June 2025 column exists to show seasonality.</w:t>
      </w:r>
    </w:p>
    <w:p>
      <w:pPr>
        <w:pStyle w:val="ListNumber"/>
      </w:pPr>
      <w:r>
        <w:t>Practice tab: work the ten warm-up drills first (instant Correct / Not yet feedback; historical data and generic mechanics only).</w:t>
      </w:r>
    </w:p>
    <w:p>
      <w:pPr>
        <w:pStyle w:val="ListNumber"/>
      </w:pPr>
      <w:r>
        <w:t>Inputs: for each driver read the history beside it. Set same-store growth and acquired revenue; a gross margin you can defend after the 2025 OEM price pass-through; SG&amp;A as a % of revenue (watch the operating leverage); tax, NCI share and restricted-stock allocation from history.</w:t>
      </w:r>
    </w:p>
    <w:p>
      <w:pPr>
        <w:pStyle w:val="ListNumber"/>
      </w:pPr>
      <w:r>
        <w:t>Revenue &amp; WC build: revenue = prior year × (1 + same-store) + acquired. Set year-end DSO / DIO / DPO and check the cash conversion cycle against FY22–FY25.</w:t>
      </w:r>
    </w:p>
    <w:p>
      <w:pPr>
        <w:pStyle w:val="ListNumber"/>
      </w:pPr>
      <w:r>
        <w:t>Income statement: gross profit, SG&amp;A, RSI income, operating income, interest (on opening balances), tax, NCI, two-class EPS. Check payout every year.</w:t>
      </w:r>
    </w:p>
    <w:p>
      <w:pPr>
        <w:pStyle w:val="ListNumber"/>
      </w:pPr>
      <w:r>
        <w:t>Balance sheet: working capital from days; PP&amp;E roll-forward; leases as a % of revenue; goodwill from acquisitions (cash + shares); RSI investment grows by its income; equity and NCI roll-forwards (Carrier receives distributions).</w:t>
      </w:r>
    </w:p>
    <w:p>
      <w:pPr>
        <w:pStyle w:val="ListNumber"/>
      </w:pPr>
      <w:r>
        <w:t>Cash flow: derive every operating line from balance-sheet changes. Dividends = DPS × all shares outstanding (restricted shares receive dividends).</w:t>
      </w:r>
    </w:p>
    <w:p>
      <w:pPr>
        <w:pStyle w:val="ListNumber"/>
      </w:pPr>
      <w:r>
        <w:t>Debt: revolver draws to the minimum cash balance and sweeps; respect the $500M year-end commitment.</w:t>
      </w:r>
    </w:p>
    <w:p>
      <w:pPr>
        <w:pStyle w:val="ListNumber"/>
      </w:pPr>
      <w:r>
        <w:t>DCF: UFCF, WACC, stub, both terminal values, then the bridge: + cash and Treasury bills − finance leases, then Carrier's share at market value, divided by all shares outstanding plus options; roll forward.</w:t>
      </w:r>
    </w:p>
    <w:p>
      <w:pPr>
        <w:pStyle w:val="ListNumber"/>
      </w:pPr>
      <w:r>
        <w:t>Comps: check each peer's LTM period (Ferguson changed its fiscal year; Core &amp; Main's quarter ends in early August) and add NCI to Watsco's EV consistently.</w:t>
      </w:r>
    </w:p>
    <w:p>
      <w:pPr>
        <w:pStyle w:val="ListNumber"/>
      </w:pPr>
      <w:r>
        <w:t>Sensitivities, football field, Granite scenario. Decide the call, then write.</w:t>
      </w:r>
    </w:p>
    <w:p>
      <w:pPr>
        <w:pStyle w:val="Heading1"/>
      </w:pPr>
      <w:r>
        <w:t>3. Common mistakes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3456"/>
        <w:gridCol w:w="5903"/>
      </w:tblGrid>
      <w:tr>
        <w:tc>
          <w:tcPr>
            <w:tcW w:type="dxa" w:w="3456"/>
            <w:shd w:val="clear" w:color="auto" w:fill="1E3A5F"/>
          </w:tcPr>
          <w:p>
            <w:r/>
            <w:r>
              <w:rPr>
                <w:b/>
                <w:color w:val="FFFFFF"/>
                <w:sz w:val="18"/>
              </w:rPr>
              <w:t>Mistake</w:t>
            </w:r>
          </w:p>
        </w:tc>
        <w:tc>
          <w:tcPr>
            <w:tcW w:type="dxa" w:w="5904"/>
            <w:shd w:val="clear" w:color="auto" w:fill="1E3A5F"/>
          </w:tcPr>
          <w:p>
            <w:r/>
            <w:r>
              <w:rPr>
                <w:b/>
                <w:color w:val="FFFFFF"/>
                <w:sz w:val="18"/>
              </w:rPr>
              <w:t>Why it matters / what to do</w:t>
            </w:r>
          </w:p>
        </w:tc>
      </w:tr>
      <w:tr>
        <w:tc>
          <w:tcPr>
            <w:tcW w:type="dxa" w:w="3456"/>
          </w:tcPr>
          <w:p>
            <w:r/>
            <w:r>
              <w:rPr>
                <w:sz w:val="18"/>
              </w:rPr>
              <w:t>Deducting NCI at book value</w:t>
            </w:r>
          </w:p>
        </w:tc>
        <w:tc>
          <w:tcPr>
            <w:tcW w:type="dxa" w:w="5904"/>
          </w:tcPr>
          <w:p>
            <w:r/>
            <w:r>
              <w:rPr>
                <w:sz w:val="18"/>
              </w:rPr>
              <w:t>Carrier's share of a consolidated DCF is worth far more than $479M. Value it on the same basis as the rest of the equity.</w:t>
            </w:r>
          </w:p>
        </w:tc>
      </w:tr>
      <w:tr>
        <w:tc>
          <w:tcPr>
            <w:tcW w:type="dxa" w:w="3456"/>
          </w:tcPr>
          <w:p>
            <w:r/>
            <w:r>
              <w:rPr>
                <w:sz w:val="18"/>
              </w:rPr>
              <w:t>Dividing by the EPS share count</w:t>
            </w:r>
          </w:p>
        </w:tc>
        <w:tc>
          <w:tcPr>
            <w:tcW w:type="dxa" w:w="5904"/>
          </w:tcPr>
          <w:p>
            <w:r/>
            <w:r>
              <w:rPr>
                <w:sz w:val="18"/>
              </w:rPr>
              <w:t>Value per share must use all shares outstanding incl. restricted (41.25M), not weighted shares ex-restricted (~38M).</w:t>
            </w:r>
          </w:p>
        </w:tc>
      </w:tr>
      <w:tr>
        <w:tc>
          <w:tcPr>
            <w:tcW w:type="dxa" w:w="3456"/>
          </w:tcPr>
          <w:p>
            <w:r/>
            <w:r>
              <w:rPr>
                <w:sz w:val="18"/>
              </w:rPr>
              <w:t>Mixing tax rates</w:t>
            </w:r>
          </w:p>
        </w:tc>
        <w:tc>
          <w:tcPr>
            <w:tcW w:type="dxa" w:w="5904"/>
          </w:tcPr>
          <w:p>
            <w:r/>
            <w:r>
              <w:rPr>
                <w:sz w:val="18"/>
              </w:rPr>
              <w:t>The 23% "Watsco" rate applied to consolidated pre-tax income double-taxes Carrier's share.</w:t>
            </w:r>
          </w:p>
        </w:tc>
      </w:tr>
      <w:tr>
        <w:tc>
          <w:tcPr>
            <w:tcW w:type="dxa" w:w="3456"/>
          </w:tcPr>
          <w:p>
            <w:r/>
            <w:r>
              <w:rPr>
                <w:sz w:val="18"/>
              </w:rPr>
              <w:t>Forecasting off the June balance sheet</w:t>
            </w:r>
          </w:p>
        </w:tc>
        <w:tc>
          <w:tcPr>
            <w:tcW w:type="dxa" w:w="5904"/>
          </w:tcPr>
          <w:p>
            <w:r/>
            <w:r>
              <w:rPr>
                <w:sz w:val="18"/>
              </w:rPr>
              <w:t>June inventory and payables are seasonal peaks; use year-end days.</w:t>
            </w:r>
          </w:p>
        </w:tc>
      </w:tr>
      <w:tr>
        <w:tc>
          <w:tcPr>
            <w:tcW w:type="dxa" w:w="3456"/>
          </w:tcPr>
          <w:p>
            <w:r/>
            <w:r>
              <w:rPr>
                <w:sz w:val="18"/>
              </w:rPr>
              <w:t>Treating acquired revenue as organic</w:t>
            </w:r>
          </w:p>
        </w:tc>
        <w:tc>
          <w:tcPr>
            <w:tcW w:type="dxa" w:w="5904"/>
          </w:tcPr>
          <w:p>
            <w:r/>
            <w:r>
              <w:rPr>
                <w:sz w:val="18"/>
              </w:rPr>
              <w:t>Jackson (from June 2026) and Granite (pending) add revenue without any change in market demand.</w:t>
            </w:r>
          </w:p>
        </w:tc>
      </w:tr>
      <w:tr>
        <w:tc>
          <w:tcPr>
            <w:tcW w:type="dxa" w:w="3456"/>
          </w:tcPr>
          <w:p>
            <w:r/>
            <w:r>
              <w:rPr>
                <w:sz w:val="18"/>
              </w:rPr>
              <w:t>Including Granite in the base case</w:t>
            </w:r>
          </w:p>
        </w:tc>
        <w:tc>
          <w:tcPr>
            <w:tcW w:type="dxa" w:w="5904"/>
          </w:tcPr>
          <w:p>
            <w:r/>
            <w:r>
              <w:rPr>
                <w:sz w:val="18"/>
              </w:rPr>
              <w:t>It has not closed and its earnings are not disclosed. Model it as a labelled scenario.</w:t>
            </w:r>
          </w:p>
        </w:tc>
      </w:tr>
      <w:tr>
        <w:tc>
          <w:tcPr>
            <w:tcW w:type="dxa" w:w="3456"/>
          </w:tcPr>
          <w:p>
            <w:r/>
            <w:r>
              <w:rPr>
                <w:sz w:val="18"/>
              </w:rPr>
              <w:t>Ignoring dividend coverage</w:t>
            </w:r>
          </w:p>
        </w:tc>
        <w:tc>
          <w:tcPr>
            <w:tcW w:type="dxa" w:w="5904"/>
          </w:tcPr>
          <w:p>
            <w:r/>
            <w:r>
              <w:rPr>
                <w:sz w:val="18"/>
              </w:rPr>
              <w:t>A payout near or above 100% of EPS constrains the forecast and the cash balance; say what the board does.</w:t>
            </w:r>
          </w:p>
        </w:tc>
      </w:tr>
      <w:tr>
        <w:tc>
          <w:tcPr>
            <w:tcW w:type="dxa" w:w="3456"/>
          </w:tcPr>
          <w:p>
            <w:r/>
            <w:r>
              <w:rPr>
                <w:sz w:val="18"/>
              </w:rPr>
              <w:t>Hard-coding LTM or peer multiples</w:t>
            </w:r>
          </w:p>
        </w:tc>
        <w:tc>
          <w:tcPr>
            <w:tcW w:type="dxa" w:w="5904"/>
          </w:tcPr>
          <w:p>
            <w:r/>
            <w:r>
              <w:rPr>
                <w:sz w:val="18"/>
              </w:rPr>
              <w:t>LTM must be FY + YTD − prior YTD as a formula; check odd fiscal periods (Ferguson).</w:t>
            </w:r>
          </w:p>
        </w:tc>
      </w:tr>
      <w:tr>
        <w:tc>
          <w:tcPr>
            <w:tcW w:type="dxa" w:w="3456"/>
          </w:tcPr>
          <w:p>
            <w:r/>
            <w:r>
              <w:rPr>
                <w:sz w:val="18"/>
              </w:rPr>
              <w:t>Peer EV without NCI on a consolidated EBITDA</w:t>
            </w:r>
          </w:p>
        </w:tc>
        <w:tc>
          <w:tcPr>
            <w:tcW w:type="dxa" w:w="5904"/>
          </w:tcPr>
          <w:p>
            <w:r/>
            <w:r>
              <w:rPr>
                <w:sz w:val="18"/>
              </w:rPr>
              <w:t>For Watsco (Carrier) and Grainger (MonotaRO) the multiple is wrong unless NCI is in EV.</w:t>
            </w:r>
          </w:p>
        </w:tc>
      </w:tr>
      <w:tr>
        <w:tc>
          <w:tcPr>
            <w:tcW w:type="dxa" w:w="3456"/>
          </w:tcPr>
          <w:p>
            <w:r/>
            <w:r>
              <w:rPr>
                <w:sz w:val="18"/>
              </w:rPr>
              <w:t>Recommendation not tied to numbers</w:t>
            </w:r>
          </w:p>
        </w:tc>
        <w:tc>
          <w:tcPr>
            <w:tcW w:type="dxa" w:w="5904"/>
          </w:tcPr>
          <w:p>
            <w:r/>
            <w:r>
              <w:rPr>
                <w:sz w:val="18"/>
              </w:rPr>
              <w:t>A call needs a price target, an implied return and a priced-in analysis.</w:t>
            </w:r>
          </w:p>
        </w:tc>
      </w:tr>
    </w:tbl>
    <w:p>
      <w:pPr>
        <w:spacing w:after="40"/>
      </w:pPr>
    </w:p>
    <w:p>
      <w:pPr>
        <w:pStyle w:val="Heading1"/>
      </w:pPr>
      <w:r>
        <w:t>4. Interview questions</w:t>
      </w:r>
    </w:p>
    <w:p>
      <w:r>
        <w:rPr>
          <w:b/>
        </w:rPr>
        <w:t xml:space="preserve">Q1. </w:t>
      </w:r>
      <w:r>
        <w:rPr>
          <w:i w:val="0"/>
        </w:rPr>
        <w:t>Walk me through how a distributor like Watsco makes money.</w:t>
      </w:r>
    </w:p>
    <w:p>
      <w:pPr>
        <w:ind w:left="432"/>
      </w:pPr>
      <w:r>
        <w:rPr>
          <w:i w:val="0"/>
        </w:rPr>
        <w:t>It buys equipment and parts from OEMs (mainly Carrier) and sells them to contractors with a ~27–28% gross margin, spends ~18% of revenue on branches, people and logistics, and earns a ~9–10% operating margin. Returns depend on how hard it turns working capital.</w:t>
      </w:r>
    </w:p>
    <w:p>
      <w:r>
        <w:rPr>
          <w:b/>
        </w:rPr>
        <w:t xml:space="preserve">Q2. </w:t>
      </w:r>
      <w:r>
        <w:rPr>
          <w:i w:val="0"/>
        </w:rPr>
        <w:t>Why is Watsco's operating cash flow negative in the first half?</w:t>
      </w:r>
    </w:p>
    <w:p>
      <w:pPr>
        <w:ind w:left="432"/>
      </w:pPr>
      <w:r>
        <w:rPr>
          <w:i w:val="0"/>
        </w:rPr>
        <w:t>It builds inventory ahead of the cooling season and receivables rise with peak sales; payables only partly offset the build. The cycle reverses in the second half.</w:t>
      </w:r>
    </w:p>
    <w:p>
      <w:r>
        <w:rPr>
          <w:b/>
        </w:rPr>
        <w:t xml:space="preserve">Q3. </w:t>
      </w:r>
      <w:r>
        <w:rPr>
          <w:i w:val="0"/>
        </w:rPr>
        <w:t>Sales fall 5%. What happens to cash flow?</w:t>
      </w:r>
    </w:p>
    <w:p>
      <w:pPr>
        <w:ind w:left="432"/>
      </w:pPr>
      <w:r>
        <w:rPr>
          <w:i w:val="0"/>
        </w:rPr>
        <w:t>Earnings fall, but receivables and inventory shrink, releasing cash; operating cash flow can hold up or rise. The reverse happens in a recovery.</w:t>
      </w:r>
    </w:p>
    <w:p>
      <w:r>
        <w:rPr>
          <w:b/>
        </w:rPr>
        <w:t xml:space="preserve">Q4. </w:t>
      </w:r>
      <w:r>
        <w:rPr>
          <w:i w:val="0"/>
        </w:rPr>
        <w:t>What is non-controlling interest and how do you treat it in valuation?</w:t>
      </w:r>
    </w:p>
    <w:p>
      <w:pPr>
        <w:ind w:left="432"/>
      </w:pPr>
      <w:r>
        <w:rPr>
          <w:i w:val="0"/>
        </w:rPr>
        <w:t>The minority partner's share of consolidated subsidiaries. Consolidated EBITDA and cash flow include it, so EV must include it (for multiples) and the equity bridge must deduct it, ideally at market value.</w:t>
      </w:r>
    </w:p>
    <w:p>
      <w:r>
        <w:rPr>
          <w:b/>
        </w:rPr>
        <w:t xml:space="preserve">Q5. </w:t>
      </w:r>
      <w:r>
        <w:rPr>
          <w:i w:val="0"/>
        </w:rPr>
        <w:t>Why is Watsco's consolidated tax rate around 20% when it reports 23%?</w:t>
      </w:r>
    </w:p>
    <w:p>
      <w:pPr>
        <w:ind w:left="432"/>
      </w:pPr>
      <w:r>
        <w:rPr>
          <w:i w:val="0"/>
        </w:rPr>
        <w:t>The Carrier JVs are partnerships; Carrier pays tax on its share. Consolidated tax covers only Watsco's share, so measured on consolidated pre-tax income the rate is lower.</w:t>
      </w:r>
    </w:p>
    <w:p>
      <w:r>
        <w:rPr>
          <w:b/>
        </w:rPr>
        <w:t xml:space="preserve">Q6. </w:t>
      </w:r>
      <w:r>
        <w:rPr>
          <w:i w:val="0"/>
        </w:rPr>
        <w:t>How is the Russell Sigler stake accounted for?</w:t>
      </w:r>
    </w:p>
    <w:p>
      <w:pPr>
        <w:ind w:left="432"/>
      </w:pPr>
      <w:r>
        <w:rPr>
          <w:i w:val="0"/>
        </w:rPr>
        <w:t>Equity method: 38.4% of RSI's net income is reported as other income within operating income; the investment grows by that income less dividends. It is non-cash unless distributed.</w:t>
      </w:r>
    </w:p>
    <w:p>
      <w:r>
        <w:rPr>
          <w:b/>
        </w:rPr>
        <w:t xml:space="preserve">Q7. </w:t>
      </w:r>
      <w:r>
        <w:rPr>
          <w:i w:val="0"/>
        </w:rPr>
        <w:t>What is the two-class EPS method?</w:t>
      </w:r>
    </w:p>
    <w:p>
      <w:pPr>
        <w:ind w:left="432"/>
      </w:pPr>
      <w:r>
        <w:rPr>
          <w:i w:val="0"/>
        </w:rPr>
        <w:t>When unvested shares receive dividends (participating securities), earnings are allocated between common and participating shares; EPS = earnings allocated to common ÷ weighted common shares.</w:t>
      </w:r>
    </w:p>
    <w:p>
      <w:r>
        <w:rPr>
          <w:b/>
        </w:rPr>
        <w:t xml:space="preserve">Q8. </w:t>
      </w:r>
      <w:r>
        <w:rPr>
          <w:i w:val="0"/>
        </w:rPr>
        <w:t>Which share count do you use for value per share?</w:t>
      </w:r>
    </w:p>
    <w:p>
      <w:pPr>
        <w:ind w:left="432"/>
      </w:pPr>
      <w:r>
        <w:rPr>
          <w:i w:val="0"/>
        </w:rPr>
        <w:t>All shares outstanding that share in value, including unvested restricted stock, plus in-the-money options (treasury method). Both share classes count equally.</w:t>
      </w:r>
    </w:p>
    <w:p>
      <w:r>
        <w:rPr>
          <w:b/>
        </w:rPr>
        <w:t xml:space="preserve">Q9. </w:t>
      </w:r>
      <w:r>
        <w:rPr>
          <w:i w:val="0"/>
        </w:rPr>
        <w:t>Does the Class B structure change your valuation?</w:t>
      </w:r>
    </w:p>
    <w:p>
      <w:pPr>
        <w:ind w:left="432"/>
      </w:pPr>
      <w:r>
        <w:rPr>
          <w:i w:val="0"/>
        </w:rPr>
        <w:t>Not the cash flows. It concentrates control (10 votes, 75% of the board), which can justify a governance discount or, given a long record of capital allocation, none. It is a judgement you should state.</w:t>
      </w:r>
    </w:p>
    <w:p>
      <w:r>
        <w:rPr>
          <w:b/>
        </w:rPr>
        <w:t xml:space="preserve">Q10. </w:t>
      </w:r>
      <w:r>
        <w:rPr>
          <w:i w:val="0"/>
        </w:rPr>
        <w:t>Watsco pays most of its earnings as dividends. What does that mean for growth and valuation?</w:t>
      </w:r>
    </w:p>
    <w:p>
      <w:pPr>
        <w:ind w:left="432"/>
      </w:pPr>
      <w:r>
        <w:rPr>
          <w:i w:val="0"/>
        </w:rPr>
        <w:t>Growth must come from margin, volume and acquisitions funded with shares or cash on hand rather than retained earnings; a payout above 100% is not sustainable without recovery, debt or equity issuance.</w:t>
      </w:r>
    </w:p>
    <w:p>
      <w:r>
        <w:rPr>
          <w:b/>
        </w:rPr>
        <w:t xml:space="preserve">Q11. </w:t>
      </w:r>
      <w:r>
        <w:rPr>
          <w:i w:val="0"/>
        </w:rPr>
        <w:t>How would you assess the Granite acquisition?</w:t>
      </w:r>
    </w:p>
    <w:p>
      <w:pPr>
        <w:ind w:left="432"/>
      </w:pPr>
      <w:r>
        <w:rPr>
          <w:i w:val="0"/>
        </w:rPr>
        <w:t>Purchase multiple (price ÷ EBITDA, which you must assume because it is not disclosed), funding mix (80% cash costs lost interest income; 20% shares dilutes), synergies, and EPS accretion versus Watsco's own P/E.</w:t>
      </w:r>
    </w:p>
    <w:p>
      <w:r>
        <w:rPr>
          <w:b/>
        </w:rPr>
        <w:t xml:space="preserve">Q12. </w:t>
      </w:r>
      <w:r>
        <w:rPr>
          <w:i w:val="0"/>
        </w:rPr>
        <w:t>A Gordon TV implies 13x EBITDA while peers trade at 11x. Is that a problem?</w:t>
      </w:r>
    </w:p>
    <w:p>
      <w:pPr>
        <w:ind w:left="432"/>
      </w:pPr>
      <w:r>
        <w:rPr>
          <w:i w:val="0"/>
        </w:rPr>
        <w:t>Not necessarily: compare with the subject's own multiple and returns. If the market needs 16x to justify the price, it is pricing a stronger recovery or lower discount rate than your base case.</w:t>
      </w:r>
    </w:p>
    <w:p>
      <w:r>
        <w:rPr>
          <w:b/>
        </w:rPr>
        <w:t xml:space="preserve">Q13. </w:t>
      </w:r>
      <w:r>
        <w:rPr>
          <w:i w:val="0"/>
        </w:rPr>
        <w:t>What drives Watsco's gross margin?</w:t>
      </w:r>
    </w:p>
    <w:p>
      <w:pPr>
        <w:ind w:left="432"/>
      </w:pPr>
      <w:r>
        <w:rPr>
          <w:i w:val="0"/>
        </w:rPr>
        <w:t>OEM price increases and how quickly they are passed through, product mix (higher-efficiency and A2L systems carry higher prices), and the timing of inventory purchases versus price changes.</w:t>
      </w:r>
    </w:p>
    <w:p>
      <w:r>
        <w:rPr>
          <w:b/>
        </w:rPr>
        <w:t xml:space="preserve">Q14. </w:t>
      </w:r>
      <w:r>
        <w:rPr>
          <w:i w:val="0"/>
        </w:rPr>
        <w:t>What is a reverse DCF and why use it here?</w:t>
      </w:r>
    </w:p>
    <w:p>
      <w:pPr>
        <w:ind w:left="432"/>
      </w:pPr>
      <w:r>
        <w:rPr>
          <w:i w:val="0"/>
        </w:rPr>
        <w:t>Solve for the growth or multiple that makes the DCF equal the price. For a stock that has fallen sharply it separates "cheap" from "re-based".</w:t>
      </w:r>
    </w:p>
    <w:p>
      <w:pPr>
        <w:pStyle w:val="Heading1"/>
      </w:pPr>
      <w:r>
        <w:t>5. Where to find things in the filings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4031"/>
        <w:gridCol w:w="5328"/>
      </w:tblGrid>
      <w:tr>
        <w:tc>
          <w:tcPr>
            <w:tcW w:type="dxa" w:w="4032"/>
            <w:shd w:val="clear" w:color="auto" w:fill="1E3A5F"/>
          </w:tcPr>
          <w:p>
            <w:r/>
            <w:r>
              <w:rPr>
                <w:b/>
                <w:color w:val="FFFFFF"/>
                <w:sz w:val="18"/>
              </w:rPr>
              <w:t>What</w:t>
            </w:r>
          </w:p>
        </w:tc>
        <w:tc>
          <w:tcPr>
            <w:tcW w:type="dxa" w:w="5328"/>
            <w:shd w:val="clear" w:color="auto" w:fill="1E3A5F"/>
          </w:tcPr>
          <w:p>
            <w:r/>
            <w:r>
              <w:rPr>
                <w:b/>
                <w:color w:val="FFFFFF"/>
                <w:sz w:val="18"/>
              </w:rPr>
              <w:t>Where</w:t>
            </w:r>
          </w:p>
        </w:tc>
      </w:tr>
      <w:tr>
        <w:tc>
          <w:tcPr>
            <w:tcW w:type="dxa" w:w="4032"/>
          </w:tcPr>
          <w:p>
            <w:r/>
            <w:r>
              <w:rPr>
                <w:sz w:val="18"/>
              </w:rPr>
              <w:t>Business, JVs, Class B rights, locations</w:t>
            </w:r>
          </w:p>
        </w:tc>
        <w:tc>
          <w:tcPr>
            <w:tcW w:type="dxa" w:w="5328"/>
          </w:tcPr>
          <w:p>
            <w:r/>
            <w:r>
              <w:rPr>
                <w:sz w:val="18"/>
              </w:rPr>
              <w:t>10-K FY25 Item 1; Item 5</w:t>
            </w:r>
          </w:p>
        </w:tc>
      </w:tr>
      <w:tr>
        <w:tc>
          <w:tcPr>
            <w:tcW w:type="dxa" w:w="4032"/>
          </w:tcPr>
          <w:p>
            <w:r/>
            <w:r>
              <w:rPr>
                <w:sz w:val="18"/>
              </w:rPr>
              <w:t>Financial statements, MD&amp;A, notes (EPS, equity, JVs, RSI, debt, leases)</w:t>
            </w:r>
          </w:p>
        </w:tc>
        <w:tc>
          <w:tcPr>
            <w:tcW w:type="dxa" w:w="5328"/>
          </w:tcPr>
          <w:p>
            <w:r/>
            <w:r>
              <w:rPr>
                <w:sz w:val="18"/>
              </w:rPr>
              <w:t>10-K FY25 Exhibit 13</w:t>
            </w:r>
          </w:p>
        </w:tc>
      </w:tr>
      <w:tr>
        <w:tc>
          <w:tcPr>
            <w:tcW w:type="dxa" w:w="4032"/>
          </w:tcPr>
          <w:p>
            <w:r/>
            <w:r>
              <w:rPr>
                <w:sz w:val="18"/>
              </w:rPr>
              <w:t>Same-store sales, gross margin commentary, Jackson, A2L transition</w:t>
            </w:r>
          </w:p>
        </w:tc>
        <w:tc>
          <w:tcPr>
            <w:tcW w:type="dxa" w:w="5328"/>
          </w:tcPr>
          <w:p>
            <w:r/>
            <w:r>
              <w:rPr>
                <w:sz w:val="18"/>
              </w:rPr>
              <w:t>10-Q 2Q26 MD&amp;A and notes</w:t>
            </w:r>
          </w:p>
        </w:tc>
      </w:tr>
      <w:tr>
        <w:tc>
          <w:tcPr>
            <w:tcW w:type="dxa" w:w="4032"/>
          </w:tcPr>
          <w:p>
            <w:r/>
            <w:r>
              <w:rPr>
                <w:sz w:val="18"/>
              </w:rPr>
              <w:t>Granite Group agreement</w:t>
            </w:r>
          </w:p>
        </w:tc>
        <w:tc>
          <w:tcPr>
            <w:tcW w:type="dxa" w:w="5328"/>
          </w:tcPr>
          <w:p>
            <w:r/>
            <w:r>
              <w:rPr>
                <w:sz w:val="18"/>
              </w:rPr>
              <w:t>8-K filed 17 Sep 2026</w:t>
            </w:r>
          </w:p>
        </w:tc>
      </w:tr>
      <w:tr>
        <w:tc>
          <w:tcPr>
            <w:tcW w:type="dxa" w:w="4032"/>
          </w:tcPr>
          <w:p>
            <w:r/>
            <w:r>
              <w:rPr>
                <w:sz w:val="18"/>
              </w:rPr>
              <w:t>Share counts by class</w:t>
            </w:r>
          </w:p>
        </w:tc>
        <w:tc>
          <w:tcPr>
            <w:tcW w:type="dxa" w:w="5328"/>
          </w:tcPr>
          <w:p>
            <w:r/>
            <w:r>
              <w:rPr>
                <w:sz w:val="18"/>
              </w:rPr>
              <w:t>10-Q 2Q26 cover page</w:t>
            </w:r>
          </w:p>
        </w:tc>
      </w:tr>
    </w:tbl>
    <w:p>
      <w:pPr>
        <w:spacing w:after="40"/>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475"/>
        <w:sz w:val="16"/>
      </w:rPr>
      <w:t xml:space="preserve">IC Simulator · Watsco (WSO) · Advanced (take-home 1–2 days) · Practice use only · Page </w:t>
    </w:r>
    <w:r>
      <w:rPr>
        <w:sz w:val="16"/>
      </w:rPr>
      <w:fldChar w:fldCharType="begin"/>
      <w:instrText xml:space="preserve">PAGE</w:instrText>
      <w:fldChar w:fldCharType="end"/>
    </w:r>
    <w:r>
      <w:rPr>
        <w:color w:val="5B6475"/>
        <w:sz w:val="16"/>
      </w:rP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eastAsia="Georgia"/>
      <w:b/>
      <w:bCs/>
      <w:color w:val="1E3A5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eastAsia="Georgia"/>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Georgia" w:hAnsi="Georgia" w:eastAsia="Georgia"/>
      <w:b/>
      <w:bCs/>
      <w:color w:val="1E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Georgia" w:hAnsi="Georgia" w:eastAsia="Georgia"/>
      <w:b/>
      <w:color w:val="1E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