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400"/>
      </w:pPr>
      <w:r>
        <w:rPr>
          <w:rFonts w:ascii="Arial" w:hAnsi="Arial" w:eastAsia="Arial"/>
          <w:b/>
          <w:i w:val="0"/>
          <w:color w:val="1E3A5F"/>
          <w:sz w:val="20"/>
        </w:rPr>
        <w:t>IC Simulator</w:t>
      </w:r>
    </w:p>
    <w:p>
      <w:r>
        <w:rPr>
          <w:rFonts w:ascii="Georgia" w:hAnsi="Georgia" w:eastAsia="Georgia"/>
          <w:b/>
          <w:i w:val="0"/>
          <w:color w:val="121826"/>
          <w:sz w:val="56"/>
        </w:rPr>
        <w:t>Keystone Equipment Finance</w:t>
      </w:r>
    </w:p>
    <w:p>
      <w:r>
        <w:rPr>
          <w:rFonts w:ascii="Arial" w:hAnsi="Arial" w:eastAsia="Arial"/>
          <w:b w:val="0"/>
          <w:i w:val="0"/>
          <w:color w:val="2A3140"/>
          <w:sz w:val="24"/>
        </w:rPr>
        <w:t>$300M senior secured revolving warehouse facility to a bankruptcy-remote SPV, advanced against a pool of small-business equipment loans</w:t>
      </w:r>
    </w:p>
    <w:p>
      <w:pPr>
        <w:spacing w:before="360"/>
      </w:pPr>
      <w:r>
        <w:rPr>
          <w:rFonts w:ascii="Arial" w:hAnsi="Arial" w:eastAsia="Arial"/>
          <w:b/>
          <w:i w:val="0"/>
          <w:color w:val="1E3A5F"/>
          <w:sz w:val="22"/>
        </w:rPr>
        <w:t>Credit memo template · Standard level</w:t>
      </w:r>
    </w:p>
    <w:p>
      <w:r>
        <w:rPr>
          <w:rFonts w:ascii="Arial" w:hAnsi="Arial" w:eastAsia="Arial"/>
          <w:b w:val="0"/>
          <w:i w:val="0"/>
          <w:color w:val="5B6475"/>
          <w:sz w:val="20"/>
        </w:rPr>
        <w:t>Practice use only · fictional teaching case</w:t>
      </w:r>
    </w:p>
    <w:p>
      <w:r>
        <w:rPr>
          <w:rFonts w:ascii="Arial" w:hAnsi="Arial" w:eastAsia="Arial"/>
          <w:b w:val="0"/>
          <w:i w:val="0"/>
          <w:color w:val="5B6475"/>
          <w:sz w:val="20"/>
        </w:rPr>
        <w:t>October 2026</w:t>
      </w:r>
    </w:p>
    <w:p>
      <w:pPr>
        <w:spacing w:before="720"/>
      </w:pPr>
      <w:r>
        <w:rPr>
          <w:rFonts w:ascii="Arial" w:hAnsi="Arial" w:eastAsia="Arial"/>
          <w:b w:val="0"/>
          <w:i/>
          <w:color w:val="2A3140"/>
          <w:sz w:val="20"/>
        </w:rPr>
        <w:t>Fill it in and upload it under Supporting files. Your score always comes from your memo.</w:t>
      </w:r>
    </w:p>
    <w:p>
      <w:pPr>
        <w:spacing w:before="1200"/>
      </w:pPr>
      <w:r>
        <w:rPr>
          <w:rFonts w:ascii="Arial" w:hAnsi="Arial" w:eastAsia="Arial"/>
          <w:b w:val="0"/>
          <w:i w:val="0"/>
          <w:color w:val="5B6475"/>
          <w:sz w:val="16"/>
        </w:rPr>
        <w:t>Sources: a fictional teaching case written for IC Simulator. The company, figures and terms are invented for practice; any resemblance to a real company is coincidental.</w:t>
      </w:r>
    </w:p>
    <w:p>
      <w:pPr>
        <w:pageBreakBefore/>
        <w:tabs>
          <w:tab w:pos="1152" w:val="left"/>
        </w:tabs>
        <w:spacing w:after="40"/>
        <w:ind w:left="1152" w:hanging="1152"/>
      </w:pPr>
      <w:r>
        <w:rPr>
          <w:rFonts w:ascii="Arial" w:hAnsi="Arial" w:eastAsia="Arial"/>
          <w:b/>
          <w:i w:val="0"/>
          <w:color w:val="121826"/>
        </w:rPr>
        <w:t>To:</w:t>
        <w:tab/>
      </w:r>
      <w:r>
        <w:rPr>
          <w:rFonts w:ascii="Arial" w:hAnsi="Arial" w:eastAsia="Arial"/>
          <w:b w:val="0"/>
          <w:i w:val="0"/>
          <w:color w:val="2A3140"/>
        </w:rPr>
        <w:t>Investment Committee</w:t>
      </w:r>
    </w:p>
    <w:p>
      <w:pPr>
        <w:tabs>
          <w:tab w:pos="1152" w:val="left"/>
        </w:tabs>
        <w:spacing w:after="40"/>
        <w:ind w:left="1152" w:hanging="1152"/>
      </w:pPr>
      <w:r>
        <w:rPr>
          <w:rFonts w:ascii="Arial" w:hAnsi="Arial" w:eastAsia="Arial"/>
          <w:b/>
          <w:i w:val="0"/>
          <w:color w:val="121826"/>
        </w:rPr>
        <w:t>From:</w:t>
        <w:tab/>
      </w:r>
      <w:r>
        <w:rPr>
          <w:rFonts w:ascii="Arial" w:hAnsi="Arial" w:eastAsia="Arial"/>
          <w:b w:val="0"/>
          <w:i w:val="0"/>
          <w:color w:val="2A3140"/>
        </w:rPr>
        <w:t>[Your name]</w:t>
      </w:r>
    </w:p>
    <w:p>
      <w:pPr>
        <w:tabs>
          <w:tab w:pos="1152" w:val="left"/>
        </w:tabs>
        <w:spacing w:after="40"/>
        <w:ind w:left="1152" w:hanging="1152"/>
      </w:pPr>
      <w:r>
        <w:rPr>
          <w:rFonts w:ascii="Arial" w:hAnsi="Arial" w:eastAsia="Arial"/>
          <w:b/>
          <w:i w:val="0"/>
          <w:color w:val="121826"/>
        </w:rPr>
        <w:t>Date:</w:t>
        <w:tab/>
      </w:r>
      <w:r>
        <w:rPr>
          <w:rFonts w:ascii="Arial" w:hAnsi="Arial" w:eastAsia="Arial"/>
          <w:b w:val="0"/>
          <w:i w:val="0"/>
          <w:color w:val="2A3140"/>
        </w:rPr>
        <w:t>[Date]</w:t>
      </w:r>
    </w:p>
    <w:p>
      <w:pPr>
        <w:tabs>
          <w:tab w:pos="1152" w:val="left"/>
        </w:tabs>
        <w:spacing w:after="40"/>
        <w:ind w:left="1152" w:hanging="1152"/>
      </w:pPr>
      <w:r>
        <w:rPr>
          <w:rFonts w:ascii="Arial" w:hAnsi="Arial" w:eastAsia="Arial"/>
          <w:b/>
          <w:i w:val="0"/>
          <w:color w:val="121826"/>
        </w:rPr>
        <w:t>Re:</w:t>
        <w:tab/>
      </w:r>
      <w:r>
        <w:rPr>
          <w:rFonts w:ascii="Arial" w:hAnsi="Arial" w:eastAsia="Arial"/>
          <w:b w:val="0"/>
          <w:i w:val="0"/>
          <w:color w:val="2A3140"/>
        </w:rPr>
        <w:t>$300M senior secured revolving warehouse facility to a bankruptcy-remote SPV, advanced against a pool of small-business equipment loans</w:t>
      </w:r>
    </w:p>
    <w:p>
      <w:pPr>
        <w:pBdr>
          <w:bottom w:val="single" w:sz="8" w:space="1" w:color="1E3A5F"/>
        </w:pBdr>
      </w:pPr>
    </w:p>
    <w:p>
      <w:pPr>
        <w:pStyle w:val="Heading1"/>
      </w:pPr>
      <w:r>
        <w:t>Transaction summary</w:t>
      </w:r>
    </w:p>
    <w:tbl>
      <w:tblPr>
        <w:tblW w:type="dxa" w:w="9360"/>
        <w:jc w:val="left"/>
        <w:tblBorders>
          <w:top w:val="single" w:sz="4" w:space="0" w:color="DDDCD4"/>
          <w:left w:val="single" w:sz="4" w:space="0" w:color="DDDCD4"/>
          <w:bottom w:val="single" w:sz="4" w:space="0" w:color="DDDCD4"/>
          <w:right w:val="single" w:sz="4" w:space="0" w:color="DDDCD4"/>
          <w:insideH w:val="single" w:sz="4" w:space="0" w:color="DDDCD4"/>
          <w:insideV w:val="single" w:sz="4" w:space="0" w:color="DDDCD4"/>
        </w:tblBorders>
        <w:tblLayout w:type="fixed"/>
        <w:tblLook w:firstColumn="1" w:firstRow="1" w:lastColumn="0" w:lastRow="0" w:noHBand="0" w:noVBand="1" w:val="04A0"/>
      </w:tblPr>
      <w:tblGrid>
        <w:gridCol w:w="2592"/>
        <w:gridCol w:w="6768"/>
      </w:tblGrid>
      <w:tr>
        <w:tc>
          <w:tcPr>
            <w:tcW w:type="dxa" w:w="2592"/>
            <w:shd w:val="clear" w:color="auto" w:fill="E4EAF3"/>
          </w:tcPr>
          <w:p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Item</w:t>
            </w:r>
          </w:p>
        </w:tc>
        <w:tc>
          <w:tcPr>
            <w:tcW w:type="dxa" w:w="6768"/>
            <w:shd w:val="clear" w:color="auto" w:fill="E4EAF3"/>
          </w:tcPr>
          <w:p>
            <w:pPr>
              <w:jc w:val="left"/>
            </w:pPr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Your entry</w:t>
            </w:r>
          </w:p>
        </w:tc>
      </w:tr>
      <w:tr>
        <w:tc>
          <w:tcPr>
            <w:tcW w:type="dxa" w:w="2592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Borrower</w:t>
            </w:r>
          </w:p>
        </w:tc>
        <w:tc>
          <w:tcPr>
            <w:tcW w:type="dxa" w:w="6768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2592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Facility</w:t>
            </w:r>
          </w:p>
        </w:tc>
        <w:tc>
          <w:tcPr>
            <w:tcW w:type="dxa" w:w="6768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2592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Size</w:t>
            </w:r>
          </w:p>
        </w:tc>
        <w:tc>
          <w:tcPr>
            <w:tcW w:type="dxa" w:w="6768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2592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Tenor</w:t>
            </w:r>
          </w:p>
        </w:tc>
        <w:tc>
          <w:tcPr>
            <w:tcW w:type="dxa" w:w="6768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2592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Pricing</w:t>
            </w:r>
          </w:p>
        </w:tc>
        <w:tc>
          <w:tcPr>
            <w:tcW w:type="dxa" w:w="6768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2592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Use of proceeds</w:t>
            </w:r>
          </w:p>
        </w:tc>
        <w:tc>
          <w:tcPr>
            <w:tcW w:type="dxa" w:w="6768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2592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Recommendation</w:t>
            </w:r>
          </w:p>
        </w:tc>
        <w:tc>
          <w:tcPr>
            <w:tcW w:type="dxa" w:w="6768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</w:tbl>
    <w:p>
      <w:pPr>
        <w:pStyle w:val="Heading1"/>
      </w:pPr>
      <w:r>
        <w:t>1. Executive summary and recommendation</w:t>
      </w:r>
    </w:p>
    <w:p>
      <w:r>
        <w:rPr>
          <w:rFonts w:ascii="Arial" w:hAnsi="Arial" w:eastAsia="Arial"/>
          <w:b w:val="0"/>
          <w:i/>
          <w:color w:val="5B6475"/>
        </w:rPr>
        <w:t>Would you provide this warehouse, and what protects the lender if the pool underperforms?</w:t>
      </w:r>
    </w:p>
    <w:p>
      <w:pPr>
        <w:spacing w:before="80"/>
      </w:pPr>
      <w:r>
        <w:rPr>
          <w:rFonts w:ascii="Arial" w:hAnsi="Arial" w:eastAsia="Arial"/>
          <w:b/>
          <w:i w:val="0"/>
          <w:color w:val="5B6475"/>
          <w:sz w:val="18"/>
        </w:rPr>
        <w:t xml:space="preserve">Suggested length: </w:t>
      </w:r>
      <w:r>
        <w:rPr>
          <w:rFonts w:ascii="Arial" w:hAnsi="Arial" w:eastAsia="Arial"/>
          <w:b w:val="0"/>
          <w:i w:val="0"/>
          <w:color w:val="5B6475"/>
          <w:sz w:val="18"/>
        </w:rPr>
        <w:t>One short paragraph.</w:t>
      </w:r>
    </w:p>
    <w:p>
      <w:r>
        <w:rPr>
          <w:rFonts w:ascii="Arial" w:hAnsi="Arial" w:eastAsia="Arial"/>
          <w:b/>
          <w:i w:val="0"/>
          <w:color w:val="5B6475"/>
          <w:sz w:val="18"/>
        </w:rPr>
        <w:t>Key credit metrics</w:t>
      </w:r>
    </w:p>
    <w:tbl>
      <w:tblPr>
        <w:tblW w:type="dxa" w:w="9360"/>
        <w:jc w:val="left"/>
        <w:tblBorders>
          <w:top w:val="single" w:sz="4" w:space="0" w:color="DDDCD4"/>
          <w:left w:val="single" w:sz="4" w:space="0" w:color="DDDCD4"/>
          <w:bottom w:val="single" w:sz="4" w:space="0" w:color="DDDCD4"/>
          <w:right w:val="single" w:sz="4" w:space="0" w:color="DDDCD4"/>
          <w:insideH w:val="single" w:sz="4" w:space="0" w:color="DDDCD4"/>
          <w:insideV w:val="single" w:sz="4" w:space="0" w:color="DDDCD4"/>
        </w:tblBorders>
        <w:tblLayout w:type="fixed"/>
        <w:tblLook w:firstColumn="1" w:firstRow="1" w:lastColumn="0" w:lastRow="0" w:noHBand="0" w:noVBand="1" w:val="04A0"/>
      </w:tblPr>
      <w:tblGrid>
        <w:gridCol w:w="4176"/>
        <w:gridCol w:w="2592"/>
        <w:gridCol w:w="2592"/>
      </w:tblGrid>
      <w:tr>
        <w:tc>
          <w:tcPr>
            <w:tcW w:type="dxa" w:w="4176"/>
            <w:shd w:val="clear" w:color="auto" w:fill="E4EAF3"/>
          </w:tcPr>
          <w:p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Metric</w:t>
            </w:r>
          </w:p>
        </w:tc>
        <w:tc>
          <w:tcPr>
            <w:tcW w:type="dxa" w:w="2592"/>
            <w:shd w:val="clear" w:color="auto" w:fill="E4EAF3"/>
          </w:tcPr>
          <w:p>
            <w:pPr>
              <w:jc w:val="left"/>
            </w:pPr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Base case</w:t>
            </w:r>
          </w:p>
        </w:tc>
        <w:tc>
          <w:tcPr>
            <w:tcW w:type="dxa" w:w="2592"/>
            <w:shd w:val="clear" w:color="auto" w:fill="E4EAF3"/>
          </w:tcPr>
          <w:p>
            <w:pPr>
              <w:jc w:val="left"/>
            </w:pPr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Downside</w:t>
            </w:r>
          </w:p>
        </w:tc>
      </w:tr>
      <w:tr>
        <w:tc>
          <w:tcPr>
            <w:tcW w:type="dxa" w:w="4176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Pro forma total leverage</w:t>
            </w:r>
          </w:p>
        </w:tc>
        <w:tc>
          <w:tcPr>
            <w:tcW w:type="dxa" w:w="2592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2592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4176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Interest coverage</w:t>
            </w:r>
          </w:p>
        </w:tc>
        <w:tc>
          <w:tcPr>
            <w:tcW w:type="dxa" w:w="2592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2592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4176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Fixed charge coverage</w:t>
            </w:r>
          </w:p>
        </w:tc>
        <w:tc>
          <w:tcPr>
            <w:tcW w:type="dxa" w:w="2592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2592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4176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Free cash flow</w:t>
            </w:r>
          </w:p>
        </w:tc>
        <w:tc>
          <w:tcPr>
            <w:tcW w:type="dxa" w:w="2592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2592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4176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Liquidity</w:t>
            </w:r>
          </w:p>
        </w:tc>
        <w:tc>
          <w:tcPr>
            <w:tcW w:type="dxa" w:w="2592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2592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4176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Covenant headroom</w:t>
            </w:r>
          </w:p>
        </w:tc>
        <w:tc>
          <w:tcPr>
            <w:tcW w:type="dxa" w:w="2592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2592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4176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Recovery for this facility</w:t>
            </w:r>
          </w:p>
        </w:tc>
        <w:tc>
          <w:tcPr>
            <w:tcW w:type="dxa" w:w="2592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2592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</w:tbl>
    <w:p/>
    <w:p>
      <w:pPr>
        <w:pStyle w:val="Heading1"/>
      </w:pPr>
      <w:r>
        <w:t>2. Sources and uses</w:t>
      </w:r>
    </w:p>
    <w:p>
      <w:r>
        <w:rPr>
          <w:rFonts w:ascii="Arial" w:hAnsi="Arial" w:eastAsia="Arial"/>
          <w:b w:val="0"/>
          <w:i/>
          <w:color w:val="5B6475"/>
        </w:rPr>
        <w:t>Show where the money comes from and where it goes. Both sides must total the same amount.</w:t>
      </w:r>
    </w:p>
    <w:p>
      <w:pPr>
        <w:spacing w:before="80"/>
      </w:pPr>
      <w:r>
        <w:rPr>
          <w:rFonts w:ascii="Arial" w:hAnsi="Arial" w:eastAsia="Arial"/>
          <w:b/>
          <w:i w:val="0"/>
          <w:color w:val="5B6475"/>
          <w:sz w:val="18"/>
        </w:rPr>
        <w:t xml:space="preserve">Suggested length: </w:t>
      </w:r>
      <w:r>
        <w:rPr>
          <w:rFonts w:ascii="Arial" w:hAnsi="Arial" w:eastAsia="Arial"/>
          <w:b w:val="0"/>
          <w:i w:val="0"/>
          <w:color w:val="5B6475"/>
          <w:sz w:val="18"/>
        </w:rPr>
        <w:t>The table, plus one sentence on pro forma debt.</w:t>
      </w:r>
    </w:p>
    <w:tbl>
      <w:tblPr>
        <w:tblW w:type="dxa" w:w="9360"/>
        <w:jc w:val="left"/>
        <w:tblBorders>
          <w:top w:val="single" w:sz="4" w:space="0" w:color="DDDCD4"/>
          <w:left w:val="single" w:sz="4" w:space="0" w:color="DDDCD4"/>
          <w:bottom w:val="single" w:sz="4" w:space="0" w:color="DDDCD4"/>
          <w:right w:val="single" w:sz="4" w:space="0" w:color="DDDCD4"/>
          <w:insideH w:val="single" w:sz="4" w:space="0" w:color="DDDCD4"/>
          <w:insideV w:val="single" w:sz="4" w:space="0" w:color="DDDCD4"/>
        </w:tblBorders>
        <w:tblLayout w:type="fixed"/>
        <w:tblLook w:firstColumn="1" w:firstRow="1" w:lastColumn="0" w:lastRow="0" w:noHBand="0" w:noVBand="1" w:val="04A0"/>
      </w:tblPr>
      <w:tblGrid>
        <w:gridCol w:w="3096"/>
        <w:gridCol w:w="1584"/>
        <w:gridCol w:w="3096"/>
        <w:gridCol w:w="1584"/>
      </w:tblGrid>
      <w:tr>
        <w:tc>
          <w:tcPr>
            <w:tcW w:type="dxa" w:w="3096"/>
            <w:shd w:val="clear" w:color="auto" w:fill="E4EAF3"/>
          </w:tcPr>
          <w:p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Sources</w:t>
            </w:r>
          </w:p>
        </w:tc>
        <w:tc>
          <w:tcPr>
            <w:tcW w:type="dxa" w:w="1584"/>
            <w:shd w:val="clear" w:color="auto" w:fill="E4EAF3"/>
          </w:tcPr>
          <w:p>
            <w:pPr>
              <w:jc w:val="left"/>
            </w:pPr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$M</w:t>
            </w:r>
          </w:p>
        </w:tc>
        <w:tc>
          <w:tcPr>
            <w:tcW w:type="dxa" w:w="3096"/>
            <w:shd w:val="clear" w:color="auto" w:fill="E4EAF3"/>
          </w:tcPr>
          <w:p>
            <w:pPr>
              <w:jc w:val="left"/>
            </w:pPr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Uses</w:t>
            </w:r>
          </w:p>
        </w:tc>
        <w:tc>
          <w:tcPr>
            <w:tcW w:type="dxa" w:w="1584"/>
            <w:shd w:val="clear" w:color="auto" w:fill="E4EAF3"/>
          </w:tcPr>
          <w:p>
            <w:pPr>
              <w:jc w:val="left"/>
            </w:pPr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$M</w:t>
            </w:r>
          </w:p>
        </w:tc>
      </w:tr>
      <w:tr>
        <w:tc>
          <w:tcPr>
            <w:tcW w:type="dxa" w:w="3096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</w:r>
          </w:p>
        </w:tc>
        <w:tc>
          <w:tcPr>
            <w:tcW w:type="dxa" w:w="1584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3096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1584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3096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</w:r>
          </w:p>
        </w:tc>
        <w:tc>
          <w:tcPr>
            <w:tcW w:type="dxa" w:w="1584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3096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1584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3096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</w:r>
          </w:p>
        </w:tc>
        <w:tc>
          <w:tcPr>
            <w:tcW w:type="dxa" w:w="1584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3096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1584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3096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</w:r>
          </w:p>
        </w:tc>
        <w:tc>
          <w:tcPr>
            <w:tcW w:type="dxa" w:w="1584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3096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1584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3096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Total sources</w:t>
            </w:r>
          </w:p>
        </w:tc>
        <w:tc>
          <w:tcPr>
            <w:tcW w:type="dxa" w:w="1584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3096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Total uses</w:t>
            </w:r>
          </w:p>
        </w:tc>
        <w:tc>
          <w:tcPr>
            <w:tcW w:type="dxa" w:w="1584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</w:tbl>
    <w:p/>
    <w:p>
      <w:pPr>
        <w:pStyle w:val="Heading1"/>
      </w:pPr>
      <w:r>
        <w:t>3. Company and industry</w:t>
      </w:r>
    </w:p>
    <w:p>
      <w:r>
        <w:rPr>
          <w:rFonts w:ascii="Arial" w:hAnsi="Arial" w:eastAsia="Arial"/>
          <w:b w:val="0"/>
          <w:i/>
          <w:color w:val="5B6475"/>
        </w:rPr>
        <w:t>Explain what the company does, how it makes money and what drives its cash flow.</w:t>
      </w:r>
    </w:p>
    <w:p>
      <w:pPr>
        <w:spacing w:before="80"/>
      </w:pPr>
      <w:r>
        <w:rPr>
          <w:rFonts w:ascii="Arial" w:hAnsi="Arial" w:eastAsia="Arial"/>
          <w:b/>
          <w:i w:val="0"/>
          <w:color w:val="5B6475"/>
          <w:sz w:val="18"/>
        </w:rPr>
        <w:t xml:space="preserve">Suggested length: </w:t>
      </w:r>
      <w:r>
        <w:rPr>
          <w:rFonts w:ascii="Arial" w:hAnsi="Arial" w:eastAsia="Arial"/>
          <w:b w:val="0"/>
          <w:i w:val="0"/>
          <w:color w:val="5B6475"/>
          <w:sz w:val="18"/>
        </w:rPr>
        <w:t>One short paragraph.</w:t>
      </w:r>
    </w:p>
    <w:p>
      <w:pPr>
        <w:pStyle w:val="Heading1"/>
      </w:pPr>
      <w:r>
        <w:t>4. Financial analysis</w:t>
      </w:r>
    </w:p>
    <w:p>
      <w:r>
        <w:rPr>
          <w:rFonts w:ascii="Arial" w:hAnsi="Arial" w:eastAsia="Arial"/>
          <w:b w:val="0"/>
          <w:i/>
          <w:color w:val="5B6475"/>
        </w:rPr>
        <w:t>How much cushion sits under the lender today, and what does the trend in pool performance say about it?</w:t>
      </w:r>
    </w:p>
    <w:p>
      <w:pPr>
        <w:spacing w:before="80"/>
      </w:pPr>
      <w:r>
        <w:rPr>
          <w:rFonts w:ascii="Arial" w:hAnsi="Arial" w:eastAsia="Arial"/>
          <w:b/>
          <w:i w:val="0"/>
          <w:color w:val="5B6475"/>
          <w:sz w:val="18"/>
        </w:rPr>
        <w:t xml:space="preserve">Suggested length: </w:t>
      </w:r>
      <w:r>
        <w:rPr>
          <w:rFonts w:ascii="Arial" w:hAnsi="Arial" w:eastAsia="Arial"/>
          <w:b w:val="0"/>
          <w:i w:val="0"/>
          <w:color w:val="5B6475"/>
          <w:sz w:val="18"/>
        </w:rPr>
        <w:t>About half a page.</w:t>
      </w:r>
    </w:p>
    <w:p>
      <w:r>
        <w:rPr>
          <w:rFonts w:ascii="Arial" w:hAnsi="Arial" w:eastAsia="Arial"/>
          <w:b/>
          <w:i w:val="0"/>
          <w:color w:val="5B6475"/>
          <w:sz w:val="18"/>
        </w:rPr>
        <w:t>Case historicals (from the case packet)</w:t>
      </w:r>
    </w:p>
    <w:tbl>
      <w:tblPr>
        <w:tblW w:type="dxa" w:w="9360"/>
        <w:jc w:val="left"/>
        <w:tblBorders>
          <w:top w:val="single" w:sz="4" w:space="0" w:color="DDDCD4"/>
          <w:left w:val="single" w:sz="4" w:space="0" w:color="DDDCD4"/>
          <w:bottom w:val="single" w:sz="4" w:space="0" w:color="DDDCD4"/>
          <w:right w:val="single" w:sz="4" w:space="0" w:color="DDDCD4"/>
          <w:insideH w:val="single" w:sz="4" w:space="0" w:color="DDDCD4"/>
          <w:insideV w:val="single" w:sz="4" w:space="0" w:color="DDDCD4"/>
        </w:tblBorders>
        <w:tblLayout w:type="fixed"/>
        <w:tblLook w:firstColumn="1" w:firstRow="1" w:lastColumn="0" w:lastRow="0" w:noHBand="0" w:noVBand="1" w:val="04A0"/>
      </w:tblPr>
      <w:tblGrid>
        <w:gridCol w:w="3312"/>
        <w:gridCol w:w="1512"/>
        <w:gridCol w:w="1512"/>
        <w:gridCol w:w="1512"/>
        <w:gridCol w:w="1512"/>
      </w:tblGrid>
      <w:tr>
        <w:tc>
          <w:tcPr>
            <w:tcW w:type="dxa" w:w="3312"/>
            <w:shd w:val="clear" w:color="auto" w:fill="E4EAF3"/>
          </w:tcPr>
          <w:p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</w:r>
          </w:p>
        </w:tc>
        <w:tc>
          <w:tcPr>
            <w:tcW w:type="dxa" w:w="1512"/>
            <w:shd w:val="clear" w:color="auto" w:fill="E4EAF3"/>
          </w:tcPr>
          <w:p>
            <w:pPr>
              <w:jc w:val="right"/>
            </w:pPr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FY2023</w:t>
            </w:r>
          </w:p>
        </w:tc>
        <w:tc>
          <w:tcPr>
            <w:tcW w:type="dxa" w:w="1512"/>
            <w:shd w:val="clear" w:color="auto" w:fill="E4EAF3"/>
          </w:tcPr>
          <w:p>
            <w:pPr>
              <w:jc w:val="right"/>
            </w:pPr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FY2024</w:t>
            </w:r>
          </w:p>
        </w:tc>
        <w:tc>
          <w:tcPr>
            <w:tcW w:type="dxa" w:w="1512"/>
            <w:shd w:val="clear" w:color="auto" w:fill="E4EAF3"/>
          </w:tcPr>
          <w:p>
            <w:pPr>
              <w:jc w:val="right"/>
            </w:pPr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FY2025</w:t>
            </w:r>
          </w:p>
        </w:tc>
        <w:tc>
          <w:tcPr>
            <w:tcW w:type="dxa" w:w="1512"/>
            <w:shd w:val="clear" w:color="auto" w:fill="E4EAF3"/>
          </w:tcPr>
          <w:p>
            <w:pPr>
              <w:jc w:val="right"/>
            </w:pPr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LTM Jun-26</w:t>
            </w:r>
          </w:p>
        </w:tc>
      </w:tr>
      <w:tr>
        <w:tc>
          <w:tcPr>
            <w:tcW w:type="dxa" w:w="3312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Originations ($M)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410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520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610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650</w:t>
            </w:r>
          </w:p>
        </w:tc>
      </w:tr>
      <w:tr>
        <w:tc>
          <w:tcPr>
            <w:tcW w:type="dxa" w:w="3312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Managed portfolio, period end ($M)</w:t>
            </w:r>
          </w:p>
        </w:tc>
        <w:tc>
          <w:tcPr>
            <w:tcW w:type="dxa" w:w="1512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780</w:t>
            </w:r>
          </w:p>
        </w:tc>
        <w:tc>
          <w:tcPr>
            <w:tcW w:type="dxa" w:w="1512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960</w:t>
            </w:r>
          </w:p>
        </w:tc>
        <w:tc>
          <w:tcPr>
            <w:tcW w:type="dxa" w:w="1512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1,140</w:t>
            </w:r>
          </w:p>
        </w:tc>
        <w:tc>
          <w:tcPr>
            <w:tcW w:type="dxa" w:w="1512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1,210</w:t>
            </w:r>
          </w:p>
        </w:tc>
      </w:tr>
      <w:tr>
        <w:tc>
          <w:tcPr>
            <w:tcW w:type="dxa" w:w="3312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Weighted average portfolio yield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13.8%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14.1%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14.0%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13.7%</w:t>
            </w:r>
          </w:p>
        </w:tc>
      </w:tr>
      <w:tr>
        <w:tc>
          <w:tcPr>
            <w:tcW w:type="dxa" w:w="3312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30+ day delinquency</w:t>
            </w:r>
          </w:p>
        </w:tc>
        <w:tc>
          <w:tcPr>
            <w:tcW w:type="dxa" w:w="1512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2.1%</w:t>
            </w:r>
          </w:p>
        </w:tc>
        <w:tc>
          <w:tcPr>
            <w:tcW w:type="dxa" w:w="1512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2.6%</w:t>
            </w:r>
          </w:p>
        </w:tc>
        <w:tc>
          <w:tcPr>
            <w:tcW w:type="dxa" w:w="1512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3.4%</w:t>
            </w:r>
          </w:p>
        </w:tc>
        <w:tc>
          <w:tcPr>
            <w:tcW w:type="dxa" w:w="1512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3.9%</w:t>
            </w:r>
          </w:p>
        </w:tc>
      </w:tr>
      <w:tr>
        <w:tc>
          <w:tcPr>
            <w:tcW w:type="dxa" w:w="3312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60+ day delinquency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0.9%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1.2%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1.7%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2.2%</w:t>
            </w:r>
          </w:p>
        </w:tc>
      </w:tr>
      <w:tr>
        <w:tc>
          <w:tcPr>
            <w:tcW w:type="dxa" w:w="3312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Annualized net charge-offs</w:t>
            </w:r>
          </w:p>
        </w:tc>
        <w:tc>
          <w:tcPr>
            <w:tcW w:type="dxa" w:w="1512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1.4%</w:t>
            </w:r>
          </w:p>
        </w:tc>
        <w:tc>
          <w:tcPr>
            <w:tcW w:type="dxa" w:w="1512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1.8%</w:t>
            </w:r>
          </w:p>
        </w:tc>
        <w:tc>
          <w:tcPr>
            <w:tcW w:type="dxa" w:w="1512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2.5%</w:t>
            </w:r>
          </w:p>
        </w:tc>
        <w:tc>
          <w:tcPr>
            <w:tcW w:type="dxa" w:w="1512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2.9%</w:t>
            </w:r>
          </w:p>
        </w:tc>
      </w:tr>
      <w:tr>
        <w:tc>
          <w:tcPr>
            <w:tcW w:type="dxa" w:w="3312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Cost of funds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5.9%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6.8%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6.9%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6.7%</w:t>
            </w:r>
          </w:p>
        </w:tc>
      </w:tr>
      <w:tr>
        <w:tc>
          <w:tcPr>
            <w:tcW w:type="dxa" w:w="3312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Pre-tax income ($M)</w:t>
            </w:r>
          </w:p>
        </w:tc>
        <w:tc>
          <w:tcPr>
            <w:tcW w:type="dxa" w:w="1512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31</w:t>
            </w:r>
          </w:p>
        </w:tc>
        <w:tc>
          <w:tcPr>
            <w:tcW w:type="dxa" w:w="1512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33</w:t>
            </w:r>
          </w:p>
        </w:tc>
        <w:tc>
          <w:tcPr>
            <w:tcW w:type="dxa" w:w="1512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28</w:t>
            </w:r>
          </w:p>
        </w:tc>
        <w:tc>
          <w:tcPr>
            <w:tcW w:type="dxa" w:w="1512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24</w:t>
            </w:r>
          </w:p>
        </w:tc>
      </w:tr>
      <w:tr>
        <w:tc>
          <w:tcPr>
            <w:tcW w:type="dxa" w:w="3312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Parent tangible net worth ($M)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210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235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255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262</w:t>
            </w:r>
          </w:p>
        </w:tc>
      </w:tr>
    </w:tbl>
    <w:p/>
    <w:p>
      <w:pPr>
        <w:pStyle w:val="Heading1"/>
      </w:pPr>
      <w:r>
        <w:t>5. Projections: base and downside</w:t>
      </w:r>
    </w:p>
    <w:p>
      <w:r>
        <w:rPr>
          <w:rFonts w:ascii="Arial" w:hAnsi="Arial" w:eastAsia="Arial"/>
          <w:b w:val="0"/>
          <w:i/>
          <w:color w:val="5B6475"/>
        </w:rPr>
        <w:t>How bad must losses get before the lender loses money, and which trigger stops the facility first?</w:t>
      </w:r>
    </w:p>
    <w:p>
      <w:pPr>
        <w:spacing w:before="80"/>
      </w:pPr>
      <w:r>
        <w:rPr>
          <w:rFonts w:ascii="Arial" w:hAnsi="Arial" w:eastAsia="Arial"/>
          <w:b/>
          <w:i w:val="0"/>
          <w:color w:val="5B6475"/>
          <w:sz w:val="18"/>
        </w:rPr>
        <w:t xml:space="preserve">Suggested length: </w:t>
      </w:r>
      <w:r>
        <w:rPr>
          <w:rFonts w:ascii="Arial" w:hAnsi="Arial" w:eastAsia="Arial"/>
          <w:b w:val="0"/>
          <w:i w:val="0"/>
          <w:color w:val="5B6475"/>
          <w:sz w:val="18"/>
        </w:rPr>
        <w:t>About half a page.</w:t>
      </w:r>
    </w:p>
    <w:p>
      <w:pPr>
        <w:pStyle w:val="Heading1"/>
      </w:pPr>
      <w:r>
        <w:t>6. Structure, terms and covenants</w:t>
      </w:r>
    </w:p>
    <w:p>
      <w:r>
        <w:rPr>
          <w:rFonts w:ascii="Arial" w:hAnsi="Arial" w:eastAsia="Arial"/>
          <w:b w:val="0"/>
          <w:i/>
          <w:color w:val="5B6475"/>
        </w:rPr>
        <w:t>Do the advance rate, triggers and servicing terms protect the lender, and what would you change?</w:t>
      </w:r>
    </w:p>
    <w:p>
      <w:pPr>
        <w:spacing w:before="80"/>
      </w:pPr>
      <w:r>
        <w:rPr>
          <w:rFonts w:ascii="Arial" w:hAnsi="Arial" w:eastAsia="Arial"/>
          <w:b/>
          <w:i w:val="0"/>
          <w:color w:val="5B6475"/>
          <w:sz w:val="18"/>
        </w:rPr>
        <w:t xml:space="preserve">Suggested length: </w:t>
      </w:r>
      <w:r>
        <w:rPr>
          <w:rFonts w:ascii="Arial" w:hAnsi="Arial" w:eastAsia="Arial"/>
          <w:b w:val="0"/>
          <w:i w:val="0"/>
          <w:color w:val="5B6475"/>
          <w:sz w:val="18"/>
        </w:rPr>
        <w:t>A few short paragraphs.</w:t>
      </w:r>
    </w:p>
    <w:p>
      <w:r>
        <w:rPr>
          <w:rFonts w:ascii="Arial" w:hAnsi="Arial" w:eastAsia="Arial"/>
          <w:b/>
          <w:i w:val="0"/>
          <w:color w:val="5B6475"/>
          <w:sz w:val="18"/>
        </w:rPr>
        <w:t>Proposed terms (from the case packet)</w:t>
      </w:r>
    </w:p>
    <w:tbl>
      <w:tblPr>
        <w:tblW w:type="dxa" w:w="9360"/>
        <w:jc w:val="left"/>
        <w:tblBorders>
          <w:top w:val="single" w:sz="4" w:space="0" w:color="DDDCD4"/>
          <w:left w:val="single" w:sz="4" w:space="0" w:color="DDDCD4"/>
          <w:bottom w:val="single" w:sz="4" w:space="0" w:color="DDDCD4"/>
          <w:right w:val="single" w:sz="4" w:space="0" w:color="DDDCD4"/>
          <w:insideH w:val="single" w:sz="4" w:space="0" w:color="DDDCD4"/>
          <w:insideV w:val="single" w:sz="4" w:space="0" w:color="DDDCD4"/>
        </w:tblBorders>
        <w:tblLayout w:type="fixed"/>
        <w:tblLook w:firstColumn="1" w:firstRow="1" w:lastColumn="0" w:lastRow="0" w:noHBand="0" w:noVBand="1" w:val="04A0"/>
      </w:tblPr>
      <w:tblGrid>
        <w:gridCol w:w="2592"/>
        <w:gridCol w:w="6768"/>
      </w:tblGrid>
      <w:tr>
        <w:tc>
          <w:tcPr>
            <w:tcW w:type="dxa" w:w="2592"/>
            <w:shd w:val="clear" w:color="auto" w:fill="E4EAF3"/>
          </w:tcPr>
          <w:p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Term</w:t>
            </w:r>
          </w:p>
        </w:tc>
        <w:tc>
          <w:tcPr>
            <w:tcW w:type="dxa" w:w="6768"/>
            <w:shd w:val="clear" w:color="auto" w:fill="E4EAF3"/>
          </w:tcPr>
          <w:p>
            <w:pPr>
              <w:jc w:val="left"/>
            </w:pPr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Proposed</w:t>
            </w:r>
          </w:p>
        </w:tc>
      </w:tr>
      <w:tr>
        <w:tc>
          <w:tcPr>
            <w:tcW w:type="dxa" w:w="2592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Facility</w:t>
            </w:r>
          </w:p>
        </w:tc>
        <w:tc>
          <w:tcPr>
            <w:tcW w:type="dxa" w:w="6768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$300M senior secured revolving warehouse to Keystone Funding SPV III (bankruptcy-remote); 3-year revolving period, then 12-month amortization</w:t>
            </w:r>
          </w:p>
        </w:tc>
      </w:tr>
      <w:tr>
        <w:tc>
          <w:tcPr>
            <w:tcW w:type="dxa" w:w="2592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Use of proceeds</w:t>
            </w:r>
          </w:p>
        </w:tc>
        <w:tc>
          <w:tcPr>
            <w:tcW w:type="dxa" w:w="6768"/>
            <w:shd w:val="clear" w:color="auto" w:fill="FAFAF7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Refinance the $200M bank warehouse (advance rate steps down from 85% to 80% in Dec-2026) and fund portfolio growth</w:t>
            </w:r>
          </w:p>
        </w:tc>
      </w:tr>
      <w:tr>
        <w:tc>
          <w:tcPr>
            <w:tcW w:type="dxa" w:w="2592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Advance rate</w:t>
            </w:r>
          </w:p>
        </w:tc>
        <w:tc>
          <w:tcPr>
            <w:tcW w:type="dxa" w:w="6768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85% of Net Eligible Receivables; parent retains the 15% first-loss equity in the SPV</w:t>
            </w:r>
          </w:p>
        </w:tc>
      </w:tr>
      <w:tr>
        <w:tc>
          <w:tcPr>
            <w:tcW w:type="dxa" w:w="2592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Pricing</w:t>
            </w:r>
          </w:p>
        </w:tc>
        <w:tc>
          <w:tcPr>
            <w:tcW w:type="dxa" w:w="6768"/>
            <w:shd w:val="clear" w:color="auto" w:fill="FAFAF7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Term SOFR + 325 bp; 0.50% unused fee; 1.00% upfront fee</w:t>
            </w:r>
          </w:p>
        </w:tc>
      </w:tr>
      <w:tr>
        <w:tc>
          <w:tcPr>
            <w:tcW w:type="dxa" w:w="2592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Initial draw</w:t>
            </w:r>
          </w:p>
        </w:tc>
        <w:tc>
          <w:tcPr>
            <w:tcW w:type="dxa" w:w="6768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$240M at closing against the June-2026 borrowing base (see exhibit)</w:t>
            </w:r>
          </w:p>
        </w:tc>
      </w:tr>
      <w:tr>
        <w:tc>
          <w:tcPr>
            <w:tcW w:type="dxa" w:w="2592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Amortization events (pool triggers)</w:t>
            </w:r>
          </w:p>
        </w:tc>
        <w:tc>
          <w:tcPr>
            <w:tcW w:type="dxa" w:w="6768"/>
            <w:shd w:val="clear" w:color="auto" w:fill="FAFAF7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3-month average annualized net loss &gt; 4.0%; 3-month average 60+ day delinquency &gt; 5.0%; 3-month average excess spread &lt; 3.0%</w:t>
            </w:r>
          </w:p>
        </w:tc>
      </w:tr>
      <w:tr>
        <w:tc>
          <w:tcPr>
            <w:tcW w:type="dxa" w:w="2592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Parent covenants</w:t>
            </w:r>
          </w:p>
        </w:tc>
        <w:tc>
          <w:tcPr>
            <w:tcW w:type="dxa" w:w="6768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Minimum tangible net worth $200M; minimum unrestricted liquidity $25M; maximum recourse debt / tangible net worth 4.0x</w:t>
            </w:r>
          </w:p>
        </w:tc>
      </w:tr>
      <w:tr>
        <w:tc>
          <w:tcPr>
            <w:tcW w:type="dxa" w:w="2592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Servicing</w:t>
            </w:r>
          </w:p>
        </w:tc>
        <w:tc>
          <w:tcPr>
            <w:tcW w:type="dxa" w:w="6768"/>
            <w:shd w:val="clear" w:color="auto" w:fill="FAFAF7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Keystone services; servicing fee 1.50% of pool balance; servicer termination on parent covenant breach or trigger event; no backup servicer at closing</w:t>
            </w:r>
          </w:p>
        </w:tc>
      </w:tr>
      <w:tr>
        <w:tc>
          <w:tcPr>
            <w:tcW w:type="dxa" w:w="2592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Other terms</w:t>
            </w:r>
          </w:p>
        </w:tc>
        <w:tc>
          <w:tcPr>
            <w:tcW w:type="dxa" w:w="6768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Monthly loan-level tape and borrowing base certificate; annual field exam; eligibility and concentration limits per exhibit; cross-default to parent debt over $10M</w:t>
            </w:r>
          </w:p>
        </w:tc>
      </w:tr>
    </w:tbl>
    <w:p/>
    <w:p>
      <w:pPr>
        <w:pStyle w:val="Heading1"/>
      </w:pPr>
      <w:r>
        <w:t>7. Collateral and recovery</w:t>
      </w:r>
    </w:p>
    <w:p>
      <w:r>
        <w:rPr>
          <w:rFonts w:ascii="Arial" w:hAnsi="Arial" w:eastAsia="Arial"/>
          <w:b w:val="0"/>
          <w:i/>
          <w:color w:val="5B6475"/>
        </w:rPr>
        <w:t>Estimate what the lender recovers if the borrower defaults.</w:t>
      </w:r>
    </w:p>
    <w:p>
      <w:pPr>
        <w:spacing w:before="80"/>
      </w:pPr>
      <w:r>
        <w:rPr>
          <w:rFonts w:ascii="Arial" w:hAnsi="Arial" w:eastAsia="Arial"/>
          <w:b/>
          <w:i w:val="0"/>
          <w:color w:val="5B6475"/>
          <w:sz w:val="18"/>
        </w:rPr>
        <w:t xml:space="preserve">Suggested length: </w:t>
      </w:r>
      <w:r>
        <w:rPr>
          <w:rFonts w:ascii="Arial" w:hAnsi="Arial" w:eastAsia="Arial"/>
          <w:b w:val="0"/>
          <w:i w:val="0"/>
          <w:color w:val="5B6475"/>
          <w:sz w:val="18"/>
        </w:rPr>
        <w:t>One short paragraph.</w:t>
      </w:r>
    </w:p>
    <w:p>
      <w:pPr>
        <w:pStyle w:val="Heading1"/>
      </w:pPr>
      <w:r>
        <w:t>8. Key risks and mitigants</w:t>
      </w:r>
    </w:p>
    <w:p>
      <w:r>
        <w:rPr>
          <w:rFonts w:ascii="Arial" w:hAnsi="Arial" w:eastAsia="Arial"/>
          <w:b w:val="0"/>
          <w:i/>
          <w:color w:val="5B6475"/>
        </w:rPr>
        <w:t>Which pool and servicer risks matter most for the lender, and how would each reach collections?</w:t>
      </w:r>
    </w:p>
    <w:p>
      <w:pPr>
        <w:spacing w:before="80"/>
      </w:pPr>
      <w:r>
        <w:rPr>
          <w:rFonts w:ascii="Arial" w:hAnsi="Arial" w:eastAsia="Arial"/>
          <w:b/>
          <w:i w:val="0"/>
          <w:color w:val="5B6475"/>
          <w:sz w:val="18"/>
        </w:rPr>
        <w:t xml:space="preserve">Suggested length: </w:t>
      </w:r>
      <w:r>
        <w:rPr>
          <w:rFonts w:ascii="Arial" w:hAnsi="Arial" w:eastAsia="Arial"/>
          <w:b w:val="0"/>
          <w:i w:val="0"/>
          <w:color w:val="5B6475"/>
          <w:sz w:val="18"/>
        </w:rPr>
        <w:t>About half a page.</w:t>
      </w:r>
    </w:p>
    <w:p>
      <w:pPr>
        <w:pStyle w:val="Heading1"/>
      </w:pPr>
      <w:r>
        <w:t>9. Relative value and pricing</w:t>
      </w:r>
    </w:p>
    <w:p>
      <w:r>
        <w:rPr>
          <w:rFonts w:ascii="Arial" w:hAnsi="Arial" w:eastAsia="Arial"/>
          <w:b w:val="0"/>
          <w:i/>
          <w:color w:val="5B6475"/>
        </w:rPr>
        <w:t>Say whether the lender is paid enough for the risk.</w:t>
      </w:r>
    </w:p>
    <w:p>
      <w:pPr>
        <w:spacing w:before="80"/>
      </w:pPr>
      <w:r>
        <w:rPr>
          <w:rFonts w:ascii="Arial" w:hAnsi="Arial" w:eastAsia="Arial"/>
          <w:b/>
          <w:i w:val="0"/>
          <w:color w:val="5B6475"/>
          <w:sz w:val="18"/>
        </w:rPr>
        <w:t xml:space="preserve">Suggested length: </w:t>
      </w:r>
      <w:r>
        <w:rPr>
          <w:rFonts w:ascii="Arial" w:hAnsi="Arial" w:eastAsia="Arial"/>
          <w:b w:val="0"/>
          <w:i w:val="0"/>
          <w:color w:val="5B6475"/>
          <w:sz w:val="18"/>
        </w:rPr>
        <w:t>Two or three sentences.</w:t>
      </w:r>
    </w:p>
    <w:p>
      <w:pPr>
        <w:pStyle w:val="Heading1"/>
      </w:pPr>
      <w:r>
        <w:t>10. Conditions and walk-away</w:t>
      </w:r>
    </w:p>
    <w:p>
      <w:r>
        <w:rPr>
          <w:rFonts w:ascii="Arial" w:hAnsi="Arial" w:eastAsia="Arial"/>
          <w:b w:val="0"/>
          <w:i/>
          <w:color w:val="5B6475"/>
        </w:rPr>
        <w:t>State your position and the conditions it depends on.</w:t>
      </w:r>
    </w:p>
    <w:p>
      <w:pPr>
        <w:spacing w:before="80"/>
      </w:pPr>
      <w:r>
        <w:rPr>
          <w:rFonts w:ascii="Arial" w:hAnsi="Arial" w:eastAsia="Arial"/>
          <w:b/>
          <w:i w:val="0"/>
          <w:color w:val="5B6475"/>
          <w:sz w:val="18"/>
        </w:rPr>
        <w:t xml:space="preserve">Suggested length: </w:t>
      </w:r>
      <w:r>
        <w:rPr>
          <w:rFonts w:ascii="Arial" w:hAnsi="Arial" w:eastAsia="Arial"/>
          <w:b w:val="0"/>
          <w:i w:val="0"/>
          <w:color w:val="5B6475"/>
          <w:sz w:val="18"/>
        </w:rPr>
        <w:t>One short paragraph.</w:t>
      </w:r>
    </w:p>
    <w:p>
      <w:pPr>
        <w:pStyle w:val="Heading1"/>
      </w:pPr>
      <w:r>
        <w:t>11. Appendix</w:t>
      </w:r>
    </w:p>
    <w:p>
      <w:r>
        <w:rPr>
          <w:rFonts w:ascii="Arial" w:hAnsi="Arial" w:eastAsia="Arial"/>
          <w:b w:val="0"/>
          <w:i w:val="0"/>
          <w:color w:val="5B6475"/>
          <w:sz w:val="18"/>
        </w:rPr>
        <w:t>Sources: a fictional teaching case written for IC Simulator. The company, figures and terms are invented for practice; any resemblance to a real company is coincidental.</w:t>
      </w:r>
    </w:p>
    <w:p>
      <w:r>
        <w:rPr>
          <w:rFonts w:ascii="Arial" w:hAnsi="Arial" w:eastAsia="Arial"/>
          <w:b w:val="0"/>
          <w:i/>
          <w:color w:val="5B6475"/>
        </w:rPr>
        <w:t>Put supporting detail here so the body of the memo stays short.</w:t>
      </w:r>
    </w:p>
    <w:p>
      <w:pPr>
        <w:spacing w:before="80"/>
      </w:pPr>
      <w:r>
        <w:rPr>
          <w:rFonts w:ascii="Arial" w:hAnsi="Arial" w:eastAsia="Arial"/>
          <w:b/>
          <w:i w:val="0"/>
          <w:color w:val="5B6475"/>
          <w:sz w:val="18"/>
        </w:rPr>
        <w:t xml:space="preserve">Suggested length: </w:t>
      </w:r>
      <w:r>
        <w:rPr>
          <w:rFonts w:ascii="Arial" w:hAnsi="Arial" w:eastAsia="Arial"/>
          <w:b w:val="0"/>
          <w:i w:val="0"/>
          <w:color w:val="5B6475"/>
          <w:sz w:val="18"/>
        </w:rPr>
        <w:t>As needed.</w:t>
      </w:r>
    </w:p>
    <w:p>
      <w:r>
        <w:rPr>
          <w:rFonts w:ascii="Arial" w:hAnsi="Arial" w:eastAsia="Arial"/>
          <w:b/>
          <w:i w:val="0"/>
          <w:color w:val="5B6475"/>
          <w:sz w:val="18"/>
        </w:rPr>
        <w:t>Borrowing base at closing ($M, as of June 30, 2026) (from the case packet)</w:t>
      </w:r>
    </w:p>
    <w:tbl>
      <w:tblPr>
        <w:tblW w:type="dxa" w:w="9360"/>
        <w:jc w:val="left"/>
        <w:tblBorders>
          <w:top w:val="single" w:sz="4" w:space="0" w:color="DDDCD4"/>
          <w:left w:val="single" w:sz="4" w:space="0" w:color="DDDCD4"/>
          <w:bottom w:val="single" w:sz="4" w:space="0" w:color="DDDCD4"/>
          <w:right w:val="single" w:sz="4" w:space="0" w:color="DDDCD4"/>
          <w:insideH w:val="single" w:sz="4" w:space="0" w:color="DDDCD4"/>
          <w:insideV w:val="single" w:sz="4" w:space="0" w:color="DDDCD4"/>
        </w:tblBorders>
        <w:tblLayout w:type="fixed"/>
        <w:tblLook w:firstColumn="1" w:firstRow="1" w:lastColumn="0" w:lastRow="0" w:noHBand="0" w:noVBand="1" w:val="04A0"/>
      </w:tblPr>
      <w:tblGrid>
        <w:gridCol w:w="5184"/>
        <w:gridCol w:w="4176"/>
      </w:tblGrid>
      <w:tr>
        <w:tc>
          <w:tcPr>
            <w:tcW w:type="dxa" w:w="5184"/>
            <w:shd w:val="clear" w:color="auto" w:fill="E4EAF3"/>
          </w:tcPr>
          <w:p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Item</w:t>
            </w:r>
          </w:p>
        </w:tc>
        <w:tc>
          <w:tcPr>
            <w:tcW w:type="dxa" w:w="4176"/>
            <w:shd w:val="clear" w:color="auto" w:fill="E4EAF3"/>
          </w:tcPr>
          <w:p>
            <w:pPr>
              <w:jc w:val="right"/>
            </w:pPr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Value</w:t>
            </w:r>
          </w:p>
        </w:tc>
      </w:tr>
      <w:tr>
        <w:tc>
          <w:tcPr>
            <w:tcW w:type="dxa" w:w="5184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Gross receivables pledged</w:t>
            </w:r>
          </w:p>
        </w:tc>
        <w:tc>
          <w:tcPr>
            <w:tcW w:type="dxa" w:w="4176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402.0</w:t>
            </w:r>
          </w:p>
        </w:tc>
      </w:tr>
      <w:tr>
        <w:tc>
          <w:tcPr>
            <w:tcW w:type="dxa" w:w="5184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Less: 60+ days delinquent or defaulted</w:t>
            </w:r>
          </w:p>
        </w:tc>
        <w:tc>
          <w:tcPr>
            <w:tcW w:type="dxa" w:w="4176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(14.0)</w:t>
            </w:r>
          </w:p>
        </w:tc>
      </w:tr>
      <w:tr>
        <w:tc>
          <w:tcPr>
            <w:tcW w:type="dxa" w:w="5184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Less: ineligible (term over 72 months, non-U.S., modified loans)</w:t>
            </w:r>
          </w:p>
        </w:tc>
        <w:tc>
          <w:tcPr>
            <w:tcW w:type="dxa" w:w="4176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(9.5)</w:t>
            </w:r>
          </w:p>
        </w:tc>
      </w:tr>
      <w:tr>
        <w:tc>
          <w:tcPr>
            <w:tcW w:type="dxa" w:w="5184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Less: single-obligor excess over 2.0%</w:t>
            </w:r>
          </w:p>
        </w:tc>
        <w:tc>
          <w:tcPr>
            <w:tcW w:type="dxa" w:w="4176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(6.5)</w:t>
            </w:r>
          </w:p>
        </w:tc>
      </w:tr>
      <w:tr>
        <w:tc>
          <w:tcPr>
            <w:tcW w:type="dxa" w:w="5184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Eligible receivables</w:t>
            </w:r>
          </w:p>
        </w:tc>
        <w:tc>
          <w:tcPr>
            <w:tcW w:type="dxa" w:w="4176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372.0</w:t>
            </w:r>
          </w:p>
        </w:tc>
      </w:tr>
      <w:tr>
        <w:tc>
          <w:tcPr>
            <w:tcW w:type="dxa" w:w="5184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Less: construction industry excess over 30% limit</w:t>
            </w:r>
          </w:p>
        </w:tc>
        <w:tc>
          <w:tcPr>
            <w:tcW w:type="dxa" w:w="4176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(11.0)</w:t>
            </w:r>
          </w:p>
        </w:tc>
      </w:tr>
      <w:tr>
        <w:tc>
          <w:tcPr>
            <w:tcW w:type="dxa" w:w="5184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Net Eligible Receivables</w:t>
            </w:r>
          </w:p>
        </w:tc>
        <w:tc>
          <w:tcPr>
            <w:tcW w:type="dxa" w:w="4176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361.0</w:t>
            </w:r>
          </w:p>
        </w:tc>
      </w:tr>
      <w:tr>
        <w:tc>
          <w:tcPr>
            <w:tcW w:type="dxa" w:w="5184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Borrowing base at 85% advance rate</w:t>
            </w:r>
          </w:p>
        </w:tc>
        <w:tc>
          <w:tcPr>
            <w:tcW w:type="dxa" w:w="4176"/>
            <w:shd w:val="clear" w:color="auto" w:fill="FAFAF7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306.9 (capped at the $300.0 commitment)</w:t>
            </w:r>
          </w:p>
        </w:tc>
      </w:tr>
      <w:tr>
        <w:tc>
          <w:tcPr>
            <w:tcW w:type="dxa" w:w="5184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Initial draw</w:t>
            </w:r>
          </w:p>
        </w:tc>
        <w:tc>
          <w:tcPr>
            <w:tcW w:type="dxa" w:w="4176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240.0</w:t>
            </w:r>
          </w:p>
        </w:tc>
      </w:tr>
      <w:tr>
        <w:tc>
          <w:tcPr>
            <w:tcW w:type="dxa" w:w="5184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Draw as % of Net Eligible Receivables</w:t>
            </w:r>
          </w:p>
        </w:tc>
        <w:tc>
          <w:tcPr>
            <w:tcW w:type="dxa" w:w="4176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66.5%</w:t>
            </w:r>
          </w:p>
        </w:tc>
      </w:tr>
    </w:tbl>
    <w:p/>
    <w:p>
      <w:r>
        <w:rPr>
          <w:rFonts w:ascii="Arial" w:hAnsi="Arial" w:eastAsia="Arial"/>
          <w:b/>
          <w:i w:val="0"/>
          <w:color w:val="5B6475"/>
          <w:sz w:val="18"/>
        </w:rPr>
        <w:t>Pool stratification (pledged pool, June 30, 2026) (from the case packet)</w:t>
      </w:r>
    </w:p>
    <w:tbl>
      <w:tblPr>
        <w:tblW w:type="dxa" w:w="9360"/>
        <w:jc w:val="left"/>
        <w:tblBorders>
          <w:top w:val="single" w:sz="4" w:space="0" w:color="DDDCD4"/>
          <w:left w:val="single" w:sz="4" w:space="0" w:color="DDDCD4"/>
          <w:bottom w:val="single" w:sz="4" w:space="0" w:color="DDDCD4"/>
          <w:right w:val="single" w:sz="4" w:space="0" w:color="DDDCD4"/>
          <w:insideH w:val="single" w:sz="4" w:space="0" w:color="DDDCD4"/>
          <w:insideV w:val="single" w:sz="4" w:space="0" w:color="DDDCD4"/>
        </w:tblBorders>
        <w:tblLayout w:type="fixed"/>
        <w:tblLook w:firstColumn="1" w:firstRow="1" w:lastColumn="0" w:lastRow="0" w:noHBand="0" w:noVBand="1" w:val="04A0"/>
      </w:tblPr>
      <w:tblGrid>
        <w:gridCol w:w="5184"/>
        <w:gridCol w:w="4176"/>
      </w:tblGrid>
      <w:tr>
        <w:tc>
          <w:tcPr>
            <w:tcW w:type="dxa" w:w="5184"/>
            <w:shd w:val="clear" w:color="auto" w:fill="E4EAF3"/>
          </w:tcPr>
          <w:p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Item</w:t>
            </w:r>
          </w:p>
        </w:tc>
        <w:tc>
          <w:tcPr>
            <w:tcW w:type="dxa" w:w="4176"/>
            <w:shd w:val="clear" w:color="auto" w:fill="E4EAF3"/>
          </w:tcPr>
          <w:p>
            <w:pPr>
              <w:jc w:val="right"/>
            </w:pPr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Value</w:t>
            </w:r>
          </w:p>
        </w:tc>
      </w:tr>
      <w:tr>
        <w:tc>
          <w:tcPr>
            <w:tcW w:type="dxa" w:w="5184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Industry mix</w:t>
            </w:r>
          </w:p>
        </w:tc>
        <w:tc>
          <w:tcPr>
            <w:tcW w:type="dxa" w:w="4176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Construction 33% (limit 30%); transportation 23%; medical 14%; manufacturing 12%; other 18%</w:t>
            </w:r>
          </w:p>
        </w:tc>
      </w:tr>
      <w:tr>
        <w:tc>
          <w:tcPr>
            <w:tcW w:type="dxa" w:w="5184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Obligor concentration</w:t>
            </w:r>
          </w:p>
        </w:tc>
        <w:tc>
          <w:tcPr>
            <w:tcW w:type="dxa" w:w="4176"/>
            <w:shd w:val="clear" w:color="auto" w:fill="FAFAF7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Largest obligor 1.9%; top 10 obligors 6.8%</w:t>
            </w:r>
          </w:p>
        </w:tc>
      </w:tr>
      <w:tr>
        <w:tc>
          <w:tcPr>
            <w:tcW w:type="dxa" w:w="5184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Collateral</w:t>
            </w:r>
          </w:p>
        </w:tc>
        <w:tc>
          <w:tcPr>
            <w:tcW w:type="dxa" w:w="4176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Titled equipment (trucks, trailers, yellow iron) 62%; non-titled equipment 38%</w:t>
            </w:r>
          </w:p>
        </w:tc>
      </w:tr>
      <w:tr>
        <w:tc>
          <w:tcPr>
            <w:tcW w:type="dxa" w:w="5184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Term</w:t>
            </w:r>
          </w:p>
        </w:tc>
        <w:tc>
          <w:tcPr>
            <w:tcW w:type="dxa" w:w="4176"/>
            <w:shd w:val="clear" w:color="auto" w:fill="FAFAF7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Weighted average original term 54 months; weighted average remaining term 38 months</w:t>
            </w:r>
          </w:p>
        </w:tc>
      </w:tr>
      <w:tr>
        <w:tc>
          <w:tcPr>
            <w:tcW w:type="dxa" w:w="5184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Vintage mix</w:t>
            </w:r>
          </w:p>
        </w:tc>
        <w:tc>
          <w:tcPr>
            <w:tcW w:type="dxa" w:w="4176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Loans originated in the last 12 months are 46% of the pool</w:t>
            </w:r>
          </w:p>
        </w:tc>
      </w:tr>
      <w:tr>
        <w:tc>
          <w:tcPr>
            <w:tcW w:type="dxa" w:w="5184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Historical recovery on defaulted equipment</w:t>
            </w:r>
          </w:p>
        </w:tc>
        <w:tc>
          <w:tcPr>
            <w:tcW w:type="dxa" w:w="4176"/>
            <w:shd w:val="clear" w:color="auto" w:fill="FAFAF7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About 40% of defaulted balance, received over 6–12 months</w:t>
            </w:r>
          </w:p>
        </w:tc>
      </w:tr>
    </w:tbl>
    <w:p/>
    <w:p>
      <w:r>
        <w:rPr>
          <w:rFonts w:ascii="Arial" w:hAnsi="Arial" w:eastAsia="Arial"/>
          <w:b/>
          <w:i w:val="0"/>
          <w:color w:val="5B6475"/>
          <w:sz w:val="18"/>
        </w:rPr>
        <w:t>Excess spread at closing (annualized, % of pool balance) (from the case packet)</w:t>
      </w:r>
    </w:p>
    <w:tbl>
      <w:tblPr>
        <w:tblW w:type="dxa" w:w="9360"/>
        <w:jc w:val="left"/>
        <w:tblBorders>
          <w:top w:val="single" w:sz="4" w:space="0" w:color="DDDCD4"/>
          <w:left w:val="single" w:sz="4" w:space="0" w:color="DDDCD4"/>
          <w:bottom w:val="single" w:sz="4" w:space="0" w:color="DDDCD4"/>
          <w:right w:val="single" w:sz="4" w:space="0" w:color="DDDCD4"/>
          <w:insideH w:val="single" w:sz="4" w:space="0" w:color="DDDCD4"/>
          <w:insideV w:val="single" w:sz="4" w:space="0" w:color="DDDCD4"/>
        </w:tblBorders>
        <w:tblLayout w:type="fixed"/>
        <w:tblLook w:firstColumn="1" w:firstRow="1" w:lastColumn="0" w:lastRow="0" w:noHBand="0" w:noVBand="1" w:val="04A0"/>
      </w:tblPr>
      <w:tblGrid>
        <w:gridCol w:w="5184"/>
        <w:gridCol w:w="4176"/>
      </w:tblGrid>
      <w:tr>
        <w:tc>
          <w:tcPr>
            <w:tcW w:type="dxa" w:w="5184"/>
            <w:shd w:val="clear" w:color="auto" w:fill="E4EAF3"/>
          </w:tcPr>
          <w:p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Item</w:t>
            </w:r>
          </w:p>
        </w:tc>
        <w:tc>
          <w:tcPr>
            <w:tcW w:type="dxa" w:w="4176"/>
            <w:shd w:val="clear" w:color="auto" w:fill="E4EAF3"/>
          </w:tcPr>
          <w:p>
            <w:pPr>
              <w:jc w:val="right"/>
            </w:pPr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Value</w:t>
            </w:r>
          </w:p>
        </w:tc>
      </w:tr>
      <w:tr>
        <w:tc>
          <w:tcPr>
            <w:tcW w:type="dxa" w:w="5184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Portfolio yield</w:t>
            </w:r>
          </w:p>
        </w:tc>
        <w:tc>
          <w:tcPr>
            <w:tcW w:type="dxa" w:w="4176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13.7%</w:t>
            </w:r>
          </w:p>
        </w:tc>
      </w:tr>
      <w:tr>
        <w:tc>
          <w:tcPr>
            <w:tcW w:type="dxa" w:w="5184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Facility interest (SOFR 4.0% + 325 bp on the 85% advanced)</w:t>
            </w:r>
          </w:p>
        </w:tc>
        <w:tc>
          <w:tcPr>
            <w:tcW w:type="dxa" w:w="4176"/>
            <w:shd w:val="clear" w:color="auto" w:fill="FAFAF7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(6.2%)</w:t>
            </w:r>
          </w:p>
        </w:tc>
      </w:tr>
      <w:tr>
        <w:tc>
          <w:tcPr>
            <w:tcW w:type="dxa" w:w="5184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Servicing fee</w:t>
            </w:r>
          </w:p>
        </w:tc>
        <w:tc>
          <w:tcPr>
            <w:tcW w:type="dxa" w:w="4176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(1.5%)</w:t>
            </w:r>
          </w:p>
        </w:tc>
      </w:tr>
      <w:tr>
        <w:tc>
          <w:tcPr>
            <w:tcW w:type="dxa" w:w="5184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Net charge-offs (LTM)</w:t>
            </w:r>
          </w:p>
        </w:tc>
        <w:tc>
          <w:tcPr>
            <w:tcW w:type="dxa" w:w="4176"/>
            <w:shd w:val="clear" w:color="auto" w:fill="FAFAF7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(2.9%)</w:t>
            </w:r>
          </w:p>
        </w:tc>
      </w:tr>
      <w:tr>
        <w:tc>
          <w:tcPr>
            <w:tcW w:type="dxa" w:w="5184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Excess spread</w:t>
            </w:r>
          </w:p>
        </w:tc>
        <w:tc>
          <w:tcPr>
            <w:tcW w:type="dxa" w:w="4176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3.1% versus the 3.0% trigger</w:t>
            </w:r>
          </w:p>
        </w:tc>
      </w:tr>
    </w:tbl>
    <w:p/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 w:eastAsia="Arial"/>
        <w:b w:val="0"/>
        <w:i w:val="0"/>
        <w:color w:val="5B6475"/>
        <w:sz w:val="16"/>
      </w:rPr>
      <w:t xml:space="preserve">IC Simulator · Keystone Equipment Finance · Standard template · Practice use only · Page </w:t>
    </w:r>
    <w:fldSimple w:instr="PAGE">
      <w: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 w:eastAsia="Arial"/>
        <w:b w:val="0"/>
        <w:i w:val="0"/>
        <w:color w:val="5B6475"/>
        <w:sz w:val="16"/>
      </w:rPr>
      <w:t>Keystone Equipment Finance · Credit memo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A314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Georgia" w:hAnsi="Georgia"/>
      <w:b/>
      <w:bCs/>
      <w:color w:val="121826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Georgia" w:hAnsi="Georgia"/>
      <w:b/>
      <w:bCs/>
      <w:color w:val="1E3A5F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Keystone Equipment Finance – Memo template (Standard) v2</dc:title>
  <dc:subject>$300M senior secured revolving warehouse facility to a bankruptcy-remote SPV, advanced against a pool of small-business equipment loans</dc:subject>
  <dc:creator>IC Simulator</dc:creator>
  <cp:keywords/>
  <dc:description>Fill it in and upload it under Supporting files. Your score always comes from your memo.</dc:description>
  <cp:lastModifiedBy>IC Simulator</cp:lastModifiedBy>
  <cp:revision>1</cp:revision>
  <dcterms:created xsi:type="dcterms:W3CDTF">2026-10-06T00:00:00Z</dcterms:created>
  <dcterms:modified xsi:type="dcterms:W3CDTF">2026-10-06T00:00:00Z</dcterms:modified>
  <cp:category/>
</cp:coreProperties>
</file>