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Lakemont Specialty Chemicals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$700M senior secured bridge loan funding the acquisition of Corvane Coatings, to be repaid by a $450M division sale and a planned $300M bond issue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$700M senior secured bridge loan funding the acquisition of Corvane Coatings, to be repaid by a $450M division sale and a planned $300M bond issue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provide this bridge, and what does your answer depend on?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What are leverage and the cost of carry under each repayment path, and does the reserve cover them?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Lakemont 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1,320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1,390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1,450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1,470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Lakemont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176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195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210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Corvane 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560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590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620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628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Corvane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Resins division EBITDA, to be sold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49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53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Combined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283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310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Combined EBITDA excluding resins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234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253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257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What happens to leverage, the extension test and value coverage if the take-out fails and earnings fall?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ranking, step-ups and extension tests protect the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$700M senior secured bridge term loan, fully drawn at closing; pari passu with the existing $500M first-lien term loan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Maturity and extensions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 months, plus two 6-month extensions at the borrower's option if the extension tests are met (24 months maximum)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SOFR + 450 bp, stepping up 50 bp each quarter in the first year (to +600 bp), then +675 bp in the first extension and +750 bp in the second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Fees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1.5% funding fee at closing; duration fees of 0.50%, 0.75% and 1.00% of the outstanding balance at months 6, 12 and 18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reserve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$31M funded at closing, about six months of interest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Mandatory prepayments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100% of net proceeds from the resins sale, any debt issuance and any other asset sale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Extension tests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No default; total leverage at or below 4.25x on LTM combined EBITDA; resins sale agreement still in effect or a bond launch in progress; extension fee paid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context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Sponsor-backed acquisition bridges recently priced at SOFR + 400 to 550 bp with similar step-ups; secured notes for BB-rated chemical companies at about 7.5–8.5%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How likely and how soon is each part of the take-out, and what could delay or break it?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Sources and uses at closing ($M)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purchase of Corvane Coatings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1,100.0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fees and expenses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interest reserve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uses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1,171.0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bridge loan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700.0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sponsor equity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balance-sheet cash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171.0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1,171.0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Take-out plan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Step 1: resins division sale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$450M cash from a strategic buyer under a signed agreement; no financing condition; $25M reverse termination fee if antitrust clearance fails; outside date 12 months after signing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Antitrust timing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Buyer expects clearance in 6–9 months; a second request typically adds 4–6 months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Step 2: senior secured notes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$300M planned once combined audited financials are available (about month 9–10), market permitting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Fallback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If the sale fails, the full $700M would need to be refinanced with notes or a term loan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Capital structure and leverage (on LTM Jun-26 EBITDA)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At closing: existing term loan + bridge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$1,200M total debt; 3.87x combined EBITDA of $310M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After the planned take-out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$800M total debt (term loan + notes); 3.11x EBITDA excluding resins of $257M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If the sale fails and all $700M is refinanced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$1,200M total debt; 3.87x combined EBITDA of $310M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Illustrative enterprise value at 8.0x combined EBITDA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$2,480M; total debt is 48% of value at closing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Lakemont Specialty Chemicals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Lakemont Specialty Chemicals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Lakemont Specialty Chemicals – Memo template (Standard) v2</dc:title>
  <dc:subject>$700M senior secured bridge loan funding the acquisition of Corvane Coatings, to be repaid by a $450M division sale and a planned $300M bond issue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