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0"/>
      </w:pPr>
      <w:r>
        <w:rPr>
          <w:rFonts w:ascii="Arial" w:hAnsi="Arial" w:eastAsia="Arial"/>
          <w:b/>
          <w:i w:val="0"/>
          <w:color w:val="1E3A5F"/>
          <w:sz w:val="20"/>
        </w:rPr>
        <w:t>IC Simulator</w:t>
      </w:r>
    </w:p>
    <w:p>
      <w:r>
        <w:rPr>
          <w:rFonts w:ascii="Georgia" w:hAnsi="Georgia" w:eastAsia="Georgia"/>
          <w:b/>
          <w:i w:val="0"/>
          <w:color w:val="121826"/>
          <w:sz w:val="56"/>
        </w:rPr>
        <w:t>Northfield Packaging</w:t>
      </w:r>
    </w:p>
    <w:p>
      <w:r>
        <w:rPr>
          <w:rFonts w:ascii="Arial" w:hAnsi="Arial" w:eastAsia="Arial"/>
          <w:b w:val="0"/>
          <w:i w:val="0"/>
          <w:color w:val="2A3140"/>
          <w:sz w:val="24"/>
        </w:rPr>
        <w:t>$150M first-lien term loan to refinance existing debt and fund a plant expansion</w:t>
      </w:r>
    </w:p>
    <w:p>
      <w:pPr>
        <w:spacing w:before="360"/>
      </w:pPr>
      <w:r>
        <w:rPr>
          <w:rFonts w:ascii="Arial" w:hAnsi="Arial" w:eastAsia="Arial"/>
          <w:b/>
          <w:i w:val="0"/>
          <w:color w:val="1E3A5F"/>
          <w:sz w:val="22"/>
        </w:rPr>
        <w:t>Credit memo template · Standard level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Practice use only · fictional teaching case</w:t>
      </w:r>
    </w:p>
    <w:p>
      <w:r>
        <w:rPr>
          <w:rFonts w:ascii="Arial" w:hAnsi="Arial" w:eastAsia="Arial"/>
          <w:b w:val="0"/>
          <w:i w:val="0"/>
          <w:color w:val="5B6475"/>
          <w:sz w:val="20"/>
        </w:rPr>
        <w:t>October 2026</w:t>
      </w:r>
    </w:p>
    <w:p>
      <w:pPr>
        <w:spacing w:before="720"/>
      </w:pPr>
      <w:r>
        <w:rPr>
          <w:rFonts w:ascii="Arial" w:hAnsi="Arial" w:eastAsia="Arial"/>
          <w:b w:val="0"/>
          <w:i/>
          <w:color w:val="2A3140"/>
          <w:sz w:val="20"/>
        </w:rPr>
        <w:t>Fill it in and upload it under Supporting files. Your score always comes from your memo.</w:t>
      </w:r>
    </w:p>
    <w:p>
      <w:pPr>
        <w:spacing w:before="1200"/>
      </w:pPr>
      <w:r>
        <w:rPr>
          <w:rFonts w:ascii="Arial" w:hAnsi="Arial" w:eastAsia="Arial"/>
          <w:b w:val="0"/>
          <w:i w:val="0"/>
          <w:color w:val="5B6475"/>
          <w:sz w:val="16"/>
        </w:rPr>
        <w:t>Sources: a fictional teaching case written for IC Simulator. The company, figures and terms are invented for practice; any resemblance to a real company is coincidental.</w:t>
      </w:r>
    </w:p>
    <w:p>
      <w:pPr>
        <w:pageBreakBefore/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To:</w:t>
        <w:tab/>
      </w:r>
      <w:r>
        <w:rPr>
          <w:rFonts w:ascii="Arial" w:hAnsi="Arial" w:eastAsia="Arial"/>
          <w:b w:val="0"/>
          <w:i w:val="0"/>
          <w:color w:val="2A3140"/>
        </w:rPr>
        <w:t>Investment Committee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From:</w:t>
        <w:tab/>
      </w:r>
      <w:r>
        <w:rPr>
          <w:rFonts w:ascii="Arial" w:hAnsi="Arial" w:eastAsia="Arial"/>
          <w:b w:val="0"/>
          <w:i w:val="0"/>
          <w:color w:val="2A3140"/>
        </w:rPr>
        <w:t>[Your name]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Date:</w:t>
        <w:tab/>
      </w:r>
      <w:r>
        <w:rPr>
          <w:rFonts w:ascii="Arial" w:hAnsi="Arial" w:eastAsia="Arial"/>
          <w:b w:val="0"/>
          <w:i w:val="0"/>
          <w:color w:val="2A3140"/>
        </w:rPr>
        <w:t>[Date]</w:t>
      </w:r>
    </w:p>
    <w:p>
      <w:pPr>
        <w:tabs>
          <w:tab w:pos="1152" w:val="left"/>
        </w:tabs>
        <w:spacing w:after="40"/>
        <w:ind w:left="1152" w:hanging="1152"/>
      </w:pPr>
      <w:r>
        <w:rPr>
          <w:rFonts w:ascii="Arial" w:hAnsi="Arial" w:eastAsia="Arial"/>
          <w:b/>
          <w:i w:val="0"/>
          <w:color w:val="121826"/>
        </w:rPr>
        <w:t>Re:</w:t>
        <w:tab/>
      </w:r>
      <w:r>
        <w:rPr>
          <w:rFonts w:ascii="Arial" w:hAnsi="Arial" w:eastAsia="Arial"/>
          <w:b w:val="0"/>
          <w:i w:val="0"/>
          <w:color w:val="2A3140"/>
        </w:rPr>
        <w:t>$150M first-lien term loan to refinance existing debt and fund a plant expansion</w:t>
      </w:r>
    </w:p>
    <w:p>
      <w:pPr>
        <w:pBdr>
          <w:bottom w:val="single" w:sz="8" w:space="1" w:color="1E3A5F"/>
        </w:pBdr>
      </w:pPr>
    </w:p>
    <w:p>
      <w:pPr>
        <w:pStyle w:val="Heading1"/>
      </w:pPr>
      <w:r>
        <w:t>Transaction summary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Item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Your entry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Borrower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Size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Use of proceeds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Recommendation</w:t>
            </w:r>
          </w:p>
        </w:tc>
        <w:tc>
          <w:tcPr>
            <w:tcW w:type="dxa" w:w="6768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>
      <w:pPr>
        <w:pStyle w:val="Heading1"/>
      </w:pPr>
      <w:r>
        <w:t>1. Executive summary and recommendation</w:t>
      </w:r>
    </w:p>
    <w:p>
      <w:r>
        <w:rPr>
          <w:rFonts w:ascii="Arial" w:hAnsi="Arial" w:eastAsia="Arial"/>
          <w:b w:val="0"/>
          <w:i/>
          <w:color w:val="5B6475"/>
        </w:rPr>
        <w:t>Why lend on these terms?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or two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Key credit metrics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4176"/>
        <w:gridCol w:w="2592"/>
        <w:gridCol w:w="2592"/>
      </w:tblGrid>
      <w:tr>
        <w:tc>
          <w:tcPr>
            <w:tcW w:type="dxa" w:w="417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Metric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Base case</w:t>
            </w:r>
          </w:p>
        </w:tc>
        <w:tc>
          <w:tcPr>
            <w:tcW w:type="dxa" w:w="2592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Downside</w:t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Interest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Fixed charge coverage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Free cash flow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Liquidity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Covenant headroom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417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Recovery for this facility</w:t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2592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2. Sources and uses</w:t>
      </w:r>
    </w:p>
    <w:p>
      <w:r>
        <w:rPr>
          <w:rFonts w:ascii="Arial" w:hAnsi="Arial" w:eastAsia="Arial"/>
          <w:b w:val="0"/>
          <w:i/>
          <w:color w:val="5B6475"/>
        </w:rPr>
        <w:t>Show where the money comes from and where it goes. Both sides must total the same amount.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The table, plus one sentence on pro forma debt.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096"/>
        <w:gridCol w:w="1584"/>
        <w:gridCol w:w="3096"/>
        <w:gridCol w:w="1584"/>
      </w:tblGrid>
      <w:tr>
        <w:tc>
          <w:tcPr>
            <w:tcW w:type="dxa" w:w="3096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Sources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  <w:tc>
          <w:tcPr>
            <w:tcW w:type="dxa" w:w="3096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Uses</w:t>
            </w:r>
          </w:p>
        </w:tc>
        <w:tc>
          <w:tcPr>
            <w:tcW w:type="dxa" w:w="1584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$M</w:t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  <w:tr>
        <w:tc>
          <w:tcPr>
            <w:tcW w:type="dxa" w:w="3096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Total sources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  <w:tc>
          <w:tcPr>
            <w:tcW w:type="dxa" w:w="3096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Total uses</w:t>
            </w:r>
          </w:p>
        </w:tc>
        <w:tc>
          <w:tcPr>
            <w:tcW w:type="dxa" w:w="1584"/>
            <w:shd w:val="clear" w:color="auto" w:fill="FFF9E6"/>
          </w:tcPr>
          <w:p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</w:r>
          </w:p>
        </w:tc>
      </w:tr>
    </w:tbl>
    <w:p/>
    <w:p>
      <w:pPr>
        <w:pStyle w:val="Heading1"/>
      </w:pPr>
      <w:r>
        <w:t>3. Company and industry</w:t>
      </w:r>
    </w:p>
    <w:p>
      <w:r>
        <w:rPr>
          <w:rFonts w:ascii="Arial" w:hAnsi="Arial" w:eastAsia="Arial"/>
          <w:b w:val="0"/>
          <w:i/>
          <w:color w:val="5B6475"/>
        </w:rPr>
        <w:t>Explain what the company does, how it makes money and what drives its cash flow.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4. Financial analysis</w:t>
      </w:r>
    </w:p>
    <w:p>
      <w:r>
        <w:rPr>
          <w:rFonts w:ascii="Arial" w:hAnsi="Arial" w:eastAsia="Arial"/>
          <w:b w:val="0"/>
          <w:i/>
          <w:color w:val="5B6475"/>
        </w:rPr>
        <w:t>Build pro forma leverage, coverage and free cash flow from the case page.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Case historicals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3312"/>
        <w:gridCol w:w="1512"/>
        <w:gridCol w:w="1512"/>
        <w:gridCol w:w="1512"/>
        <w:gridCol w:w="1512"/>
      </w:tblGrid>
      <w:tr>
        <w:tc>
          <w:tcPr>
            <w:tcW w:type="dxa" w:w="331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FY2022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FY2023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FY2024</w:t>
            </w:r>
          </w:p>
        </w:tc>
        <w:tc>
          <w:tcPr>
            <w:tcW w:type="dxa" w:w="1512"/>
            <w:shd w:val="clear" w:color="auto" w:fill="E4EAF3"/>
          </w:tcPr>
          <w:p>
            <w:pPr>
              <w:jc w:val="righ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FY2025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Revenue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395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410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445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468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47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66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70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EBITDA margin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11.9%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14.1%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14.8%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15.0%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Capex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16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18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20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21</w:t>
            </w:r>
          </w:p>
        </w:tc>
      </w:tr>
      <w:tr>
        <w:tc>
          <w:tcPr>
            <w:tcW w:type="dxa" w:w="331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Cash taxes ($M)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</w:t>
            </w:r>
          </w:p>
        </w:tc>
        <w:tc>
          <w:tcPr>
            <w:tcW w:type="dxa" w:w="1512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6</w:t>
            </w:r>
          </w:p>
        </w:tc>
      </w:tr>
      <w:tr>
        <w:tc>
          <w:tcPr>
            <w:tcW w:type="dxa" w:w="331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Change in working capital ($M)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(9)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(2)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(4)</w:t>
            </w:r>
          </w:p>
        </w:tc>
        <w:tc>
          <w:tcPr>
            <w:tcW w:type="dxa" w:w="1512"/>
            <w:shd w:val="clear" w:color="auto" w:fill="FAFAF7"/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(3)</w:t>
            </w:r>
          </w:p>
        </w:tc>
      </w:tr>
    </w:tbl>
    <w:p/>
    <w:p>
      <w:pPr>
        <w:pStyle w:val="Heading1"/>
      </w:pPr>
      <w:r>
        <w:t>5. Projections: base and downside</w:t>
      </w:r>
    </w:p>
    <w:p>
      <w:r>
        <w:rPr>
          <w:rFonts w:ascii="Arial" w:hAnsi="Arial" w:eastAsia="Arial"/>
          <w:b w:val="0"/>
          <w:i/>
          <w:color w:val="5B6475"/>
        </w:rPr>
        <w:t>Stress the business through a specific mechanism and quantify covenant headroom.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6. Structure, terms and covenants</w:t>
      </w:r>
    </w:p>
    <w:p>
      <w:r>
        <w:rPr>
          <w:rFonts w:ascii="Arial" w:hAnsi="Arial" w:eastAsia="Arial"/>
          <w:b w:val="0"/>
          <w:i/>
          <w:color w:val="5B6475"/>
        </w:rPr>
        <w:t>Do the covenants and terms protect the first-lien lender, and what would you change?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 few short paragraphs.</w:t>
      </w:r>
    </w:p>
    <w:p>
      <w:r>
        <w:rPr>
          <w:rFonts w:ascii="Arial" w:hAnsi="Arial" w:eastAsia="Arial"/>
          <w:b/>
          <w:i w:val="0"/>
          <w:color w:val="5B6475"/>
          <w:sz w:val="18"/>
        </w:rPr>
        <w:t>Proposed terms (from the case packet)</w:t>
      </w:r>
    </w:p>
    <w:tbl>
      <w:tblPr>
        <w:tblW w:type="dxa" w:w="9360"/>
        <w:jc w:val="left"/>
        <w:tblBorders>
          <w:top w:val="single" w:sz="4" w:space="0" w:color="DDDCD4"/>
          <w:left w:val="single" w:sz="4" w:space="0" w:color="DDDCD4"/>
          <w:bottom w:val="single" w:sz="4" w:space="0" w:color="DDDCD4"/>
          <w:right w:val="single" w:sz="4" w:space="0" w:color="DDDCD4"/>
          <w:insideH w:val="single" w:sz="4" w:space="0" w:color="DDDCD4"/>
          <w:insideV w:val="single" w:sz="4" w:space="0" w:color="DDDCD4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6768"/>
      </w:tblGrid>
      <w:tr>
        <w:tc>
          <w:tcPr>
            <w:tcW w:type="dxa" w:w="2592"/>
            <w:shd w:val="clear" w:color="auto" w:fill="E4EAF3"/>
          </w:tcPr>
          <w:p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Term</w:t>
            </w:r>
          </w:p>
        </w:tc>
        <w:tc>
          <w:tcPr>
            <w:tcW w:type="dxa" w:w="6768"/>
            <w:shd w:val="clear" w:color="auto" w:fill="E4EAF3"/>
          </w:tcPr>
          <w:p>
            <w:pPr>
              <w:jc w:val="left"/>
            </w:pPr>
            <w:r/>
            <w:r>
              <w:rPr>
                <w:rFonts w:ascii="Arial" w:hAnsi="Arial" w:eastAsia="Arial"/>
                <w:b/>
                <w:i w:val="0"/>
                <w:color w:val="1E3A5F"/>
                <w:sz w:val="18"/>
              </w:rPr>
              <w:t>Proposed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Facility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$150M first-lien term loan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Tenor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5 years (matures 2031); second-lien notes mature 2030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Pricing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SOFR + 575 bps, 1.0% SOFR floor, 98.5 OID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Amortization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1% per year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Pro forma total leverage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4.5x FY2025 EBITDA ($315M / $70M)</w:t>
            </w:r>
          </w:p>
        </w:tc>
      </w:tr>
      <w:tr>
        <w:tc>
          <w:tcPr>
            <w:tcW w:type="dxa" w:w="2592"/>
            <w:shd w:val="clear" w:color="auto" w:fill="FAFAF7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Financial covenants</w:t>
            </w:r>
          </w:p>
        </w:tc>
        <w:tc>
          <w:tcPr>
            <w:tcW w:type="dxa" w:w="6768"/>
            <w:shd w:val="clear" w:color="auto" w:fill="FAFAF7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Max total net leverage 5.25x, stepping to 4.75x after 24 months; min fixed charge coverage 1.15x</w:t>
            </w:r>
          </w:p>
        </w:tc>
      </w:tr>
      <w:tr>
        <w:tc>
          <w:tcPr>
            <w:tcW w:type="dxa" w:w="2592"/>
          </w:tcPr>
          <w:p>
            <w:r>
              <w:rPr>
                <w:rFonts w:ascii="Arial" w:hAnsi="Arial" w:eastAsia="Arial"/>
                <w:b/>
                <w:i w:val="0"/>
                <w:color w:val="121826"/>
                <w:sz w:val="18"/>
              </w:rPr>
              <w:t>Other terms</w:t>
            </w:r>
          </w:p>
        </w:tc>
        <w:tc>
          <w:tcPr>
            <w:tcW w:type="dxa" w:w="6768"/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2A3140"/>
                <w:sz w:val="18"/>
              </w:rPr>
              <w:t>Unlimited restricted payments when total leverage &lt; 4.0x; $25M incremental facility</w:t>
            </w:r>
          </w:p>
        </w:tc>
      </w:tr>
    </w:tbl>
    <w:p/>
    <w:p>
      <w:pPr>
        <w:pStyle w:val="Heading1"/>
      </w:pPr>
      <w:r>
        <w:t>7. Collateral and recovery</w:t>
      </w:r>
    </w:p>
    <w:p>
      <w:r>
        <w:rPr>
          <w:rFonts w:ascii="Arial" w:hAnsi="Arial" w:eastAsia="Arial"/>
          <w:b w:val="0"/>
          <w:i/>
          <w:color w:val="5B6475"/>
        </w:rPr>
        <w:t>Estimate what the lender recovers if the borrower defaults.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8. Key risks and mitigants</w:t>
      </w:r>
    </w:p>
    <w:p>
      <w:r>
        <w:rPr>
          <w:rFonts w:ascii="Arial" w:hAnsi="Arial" w:eastAsia="Arial"/>
          <w:b w:val="0"/>
          <w:i/>
          <w:color w:val="5B6475"/>
        </w:rPr>
        <w:t>Which risks matter most, and how would each reach cash flow?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About half a page.</w:t>
      </w:r>
    </w:p>
    <w:p>
      <w:pPr>
        <w:pStyle w:val="Heading1"/>
      </w:pPr>
      <w:r>
        <w:t>9. Relative value and pricing</w:t>
      </w:r>
    </w:p>
    <w:p>
      <w:r>
        <w:rPr>
          <w:rFonts w:ascii="Arial" w:hAnsi="Arial" w:eastAsia="Arial"/>
          <w:b w:val="0"/>
          <w:i/>
          <w:color w:val="5B6475"/>
        </w:rPr>
        <w:t>Say whether the lender is paid enough for the risk.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Two or three sentences.</w:t>
      </w:r>
    </w:p>
    <w:p>
      <w:pPr>
        <w:pStyle w:val="Heading1"/>
      </w:pPr>
      <w:r>
        <w:t>10. Conditions and walk-away</w:t>
      </w:r>
    </w:p>
    <w:p>
      <w:r>
        <w:rPr>
          <w:rFonts w:ascii="Arial" w:hAnsi="Arial" w:eastAsia="Arial"/>
          <w:b w:val="0"/>
          <w:i/>
          <w:color w:val="5B6475"/>
        </w:rPr>
        <w:t>State your position on the facility as proposed and the conditions it depends on.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One short paragraph.</w:t>
      </w:r>
    </w:p>
    <w:p>
      <w:pPr>
        <w:pStyle w:val="Heading1"/>
      </w:pPr>
      <w:r>
        <w:t>11. Appendix</w:t>
      </w:r>
    </w:p>
    <w:p>
      <w:r>
        <w:rPr>
          <w:rFonts w:ascii="Arial" w:hAnsi="Arial" w:eastAsia="Arial"/>
          <w:b w:val="0"/>
          <w:i w:val="0"/>
          <w:color w:val="5B6475"/>
          <w:sz w:val="18"/>
        </w:rPr>
        <w:t>Sources: a fictional teaching case written for IC Simulator. The company, figures and terms are invented for practice; any resemblance to a real company is coincidental.</w:t>
      </w:r>
    </w:p>
    <w:p>
      <w:r>
        <w:rPr>
          <w:rFonts w:ascii="Arial" w:hAnsi="Arial" w:eastAsia="Arial"/>
          <w:b w:val="0"/>
          <w:i/>
          <w:color w:val="5B6475"/>
        </w:rPr>
        <w:t>Put supporting detail here so the body of the memo stays short.</w:t>
      </w:r>
    </w:p>
    <w:p>
      <w:pPr>
        <w:spacing w:before="80"/>
      </w:pPr>
      <w:r>
        <w:rPr>
          <w:rFonts w:ascii="Arial" w:hAnsi="Arial" w:eastAsia="Arial"/>
          <w:b/>
          <w:i w:val="0"/>
          <w:color w:val="5B6475"/>
          <w:sz w:val="18"/>
        </w:rPr>
        <w:t xml:space="preserve">Suggested length: </w:t>
      </w:r>
      <w:r>
        <w:rPr>
          <w:rFonts w:ascii="Arial" w:hAnsi="Arial" w:eastAsia="Arial"/>
          <w:b w:val="0"/>
          <w:i w:val="0"/>
          <w:color w:val="5B6475"/>
          <w:sz w:val="18"/>
        </w:rPr>
        <w:t>As needed.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b w:val="0"/>
        <w:i w:val="0"/>
        <w:color w:val="5B6475"/>
        <w:sz w:val="16"/>
      </w:rPr>
      <w:t xml:space="preserve">IC Simulator · Northfield Packaging · Standard template · Practice use only · Page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/>
        <w:b w:val="0"/>
        <w:i w:val="0"/>
        <w:color w:val="5B6475"/>
        <w:sz w:val="16"/>
      </w:rPr>
      <w:t>Northfield Packaging · Credit memo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A314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Georgia" w:hAnsi="Georgia"/>
      <w:b/>
      <w:bCs/>
      <w:color w:val="121826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1E3A5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Northfield Packaging – Memo template (Standard) v2</dc:title>
  <dc:subject>$150M first-lien term loan to refinance existing debt and fund a plant expansion</dc:subject>
  <dc:creator>IC Simulator</dc:creator>
  <cp:keywords/>
  <dc:description>Fill it in and upload it under Supporting files. Your score always comes from your memo.</dc:description>
  <cp:lastModifiedBy>IC Simulator</cp:lastModifiedBy>
  <cp:revision>1</cp:revision>
  <dcterms:created xsi:type="dcterms:W3CDTF">2026-10-06T00:00:00Z</dcterms:created>
  <dcterms:modified xsi:type="dcterms:W3CDTF">2026-10-06T00:00:00Z</dcterms:modified>
  <cp:category/>
</cp:coreProperties>
</file>