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Ridgeline River Crossing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$780M senior secured fixed-rate term loan to a project company that will design, build, finance and maintain a replacement river bridge under a 35-year availability-payment concession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fictional teaching case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a fictional teaching case written for IC Simulator. The company, figures and terms are invented for practice; any resemblance to a real company is coincidental.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$780M senior secured fixed-rate term loan to a project company that will design, build, finance and maintain a replacement river bridge under a 35-year availability-payment concession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Would you lend to this project, and which risks does the structure leave with the lender?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Is the debt sized with enough coverage in the weakest years, and how much cushion sits under it?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2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210"/>
        <w:gridCol w:w="1210"/>
        <w:gridCol w:w="1210"/>
        <w:gridCol w:w="1210"/>
        <w:gridCol w:w="1210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210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Op year 1 (2030)</w:t>
            </w:r>
          </w:p>
        </w:tc>
        <w:tc>
          <w:tcPr>
            <w:tcW w:type="dxa" w:w="1210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Op year 5</w:t>
            </w:r>
          </w:p>
        </w:tc>
        <w:tc>
          <w:tcPr>
            <w:tcW w:type="dxa" w:w="1210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Op year 10</w:t>
            </w:r>
          </w:p>
        </w:tc>
        <w:tc>
          <w:tcPr>
            <w:tcW w:type="dxa" w:w="1210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Op year 20</w:t>
            </w:r>
          </w:p>
        </w:tc>
        <w:tc>
          <w:tcPr>
            <w:tcW w:type="dxa" w:w="1210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Op year 30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Availability payment, before deductions ($M)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88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92.4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98.3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112.1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129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Operations and maintenance ($M)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9.9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11.2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14.4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18.4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Insurance and project company costs ($M)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3.3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3.7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4.8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6.1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Lifecycle reserve contributions ($M)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Cash flow available for debt service ($M)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72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74.1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71.3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78.9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98.4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Senior debt service ($M)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52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53.5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54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56</w:t>
            </w:r>
          </w:p>
        </w:tc>
        <w:tc>
          <w:tcPr>
            <w:tcW w:type="dxa" w:w="1210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0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DSCR (sponsor base case)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1.38x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1.39x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1.32x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1.41x</w:t>
            </w:r>
          </w:p>
        </w:tc>
        <w:tc>
          <w:tcPr>
            <w:tcW w:type="dxa" w:w="1210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n/a (debt repaid)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How far can cash flow fall before the lock-up and default tests trip, and is construction risk covered?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Do the termination regime, reserves and tests protect the lender, and what would you change?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$780M senior secured fixed-rate term loan to Ridgeline Crossing Partners (project company); drawn during construction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 and amortization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31 years from close: 3-year construction availability, then 28-year amortization sculpted to the sponsor base case; 4-year tail before concession end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Fixed 5.60% (30-year Treasury 4.25% + 135 bp); 0.75% upfront fee; make-whole call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context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Recent availability-payment P3 private placements rated BBB to BBB+ priced at Treasuries + 120 to 165 bp; projects with full construction risk at the wider end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Sizing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Minimum DSCR 1.30x and average 1.39x in the sponsor base case; loan life coverage ratio 1.42x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Distribution lock-up and default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Distributions to equity blocked below 1.15x historical and projected DSCR; event of default below 1.05x historical DSCR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Reserves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Debt service reserve of 6 months' debt service, funded at close; lifecycle reserve funded per the lifecycle plan; handback reserve from year 27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Security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First-priority lien on all project company assets, accounts and the concession agreement; direct agreements with the State, the design-build contractor and the O&amp;M contractor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Cash waterfall: O&amp;M, senior debt service, DSRA, lifecycle reserve, lock-up test, then equity; no additional senior debt except permitted refinancing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construction, performance and lifecycle risks matter most, and how would each reach cash flow?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a fictional teaching case written for IC Simulator. The company, figures and terms are invented for practice; any resemblance to a real company is coincidental.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Sources and uses ($M, construction period)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design-build contract (fixed price)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860.0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owner's and development costs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30.0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construction contingency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25.0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interest during construction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85.0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financing fees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debt service reserve funding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30.0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uses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1,050.0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Sources: senior debt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780.0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Sources: sponsor equity (paid in pro rata with debt)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150.0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Sources: State milestone payments during construction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120.0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1,050.0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Construction security package (design-build contract with the Arcadia–Harlow joint venture)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Contract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Fixed price $860M; date-certain substantial completion 36 months after notice to proceed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Delay liquidated damages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$150,000 per day, capped at 15% of the contract price ($129M)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Letter of credit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10% of the contract price ($86M), from investment-grade banks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Payment and performance bonds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50% of the contract price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Parent guarantees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Joint and several guarantees from both joint-venture parents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Owner contingency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$25M, about 3% of the design-build price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Key exclusions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Unforeseen river-bed geotechnical conditions above a $10M threshold are a shared risk with the State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Payment mechanism and deductions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Availability payment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$88.0M maximum in operating year 1; 60% indexed to inflation, 40% fixed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Unavailability deductions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Per lane-closure hour, weighted by time of day; peak-hour closure of all lanes can remove the full daily payment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Performance deductions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Points for missed maintenance and response standards; deductions capped at 5% of the annual payment before a default warning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Deduction history on comparable State P3s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About 0.5–1.5% of the annual payment in steady state; up to 4% in the first two operating years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Appropriation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Payments subject to annual legislative appropriation; non-appropriation lets the project company terminate with compensation covering senior debt in full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Termination compensation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State default or convenience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Senior debt outstanding plus breakage, and equity at a contractual return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Force majeure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Senior debt outstanding; equity receives its paid-in capital less distributions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Project company default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Adjusted estimated fair value of the contract after rebidding, capped at senior debt outstanding; no floor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Handback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Asset must meet residual-life standards at year 35; handback reserve funded from year 27; the State may withhold payments for shortfalls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Ridgeline River Crossing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Ridgeline River Crossing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Ridgeline River Crossing – Memo template (Standard) v2</dc:title>
  <dc:subject>$780M senior secured fixed-rate term loan to a project company that will design, build, finance and maintain a replacement river bridge under a 35-year availability-payment concession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